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AA5008" w14:textId="50857714" w:rsidR="00E904BD" w:rsidRPr="00E904BD" w:rsidRDefault="00E904BD" w:rsidP="00E904BD">
      <w:pPr>
        <w:pBdr>
          <w:bottom w:val="single" w:sz="18" w:space="18" w:color="0096C4"/>
        </w:pBdr>
        <w:spacing w:after="400" w:line="240" w:lineRule="auto"/>
        <w:ind w:left="567" w:hanging="567"/>
        <w:contextualSpacing/>
        <w:outlineLvl w:val="0"/>
        <w:rPr>
          <w:rFonts w:ascii="Graphik Semibold" w:eastAsia="Times New Roman" w:hAnsi="Graphik Semibold" w:cs="Times New Roman (Títulos en alf"/>
          <w:caps/>
          <w:color w:val="083046"/>
          <w:spacing w:val="28"/>
          <w:kern w:val="28"/>
          <w:sz w:val="40"/>
          <w:szCs w:val="56"/>
          <w:lang w:val="en-US" w:eastAsia="es-MX"/>
        </w:rPr>
      </w:pPr>
      <w:bookmarkStart w:id="0" w:name="_Toc101113574"/>
      <w:r w:rsidRPr="00E904BD">
        <w:rPr>
          <w:rFonts w:ascii="Graphik Semibold" w:eastAsia="Graphik Semibold" w:hAnsi="Graphik Semibold" w:cs="Times New Roman (Títulos en alf"/>
          <w:caps/>
          <w:color w:val="083046"/>
          <w:spacing w:val="28"/>
          <w:kern w:val="28"/>
          <w:sz w:val="40"/>
          <w:szCs w:val="40"/>
          <w:lang w:val="en-US" w:eastAsia="es-MX"/>
        </w:rPr>
        <w:t>Regulatory Framework and Tax Benefits</w:t>
      </w:r>
      <w:bookmarkEnd w:id="0"/>
      <w:r>
        <w:rPr>
          <w:rFonts w:ascii="Graphik Semibold" w:eastAsia="Graphik Semibold" w:hAnsi="Graphik Semibold" w:cs="Times New Roman (Títulos en alf"/>
          <w:caps/>
          <w:color w:val="083046"/>
          <w:spacing w:val="28"/>
          <w:kern w:val="28"/>
          <w:sz w:val="40"/>
          <w:szCs w:val="40"/>
          <w:lang w:val="en-US" w:eastAsia="es-MX"/>
        </w:rPr>
        <w:t xml:space="preserve"> - </w:t>
      </w:r>
      <w:r w:rsidRPr="00E904BD">
        <w:rPr>
          <w:rFonts w:ascii="Graphik Semibold" w:eastAsia="Graphik Semibold" w:hAnsi="Graphik Semibold" w:cs="Times New Roman (Títulos en alf"/>
          <w:caps/>
          <w:color w:val="083046"/>
          <w:spacing w:val="28"/>
          <w:kern w:val="28"/>
          <w:sz w:val="40"/>
          <w:szCs w:val="40"/>
          <w:lang w:val="en-US" w:eastAsia="es-MX"/>
        </w:rPr>
        <w:t>FORESTRY SECTOR</w:t>
      </w:r>
    </w:p>
    <w:p w14:paraId="65CCEE23" w14:textId="77777777" w:rsidR="00E904BD" w:rsidRPr="00E904BD" w:rsidRDefault="00E904BD" w:rsidP="00E904BD">
      <w:pPr>
        <w:spacing w:after="260" w:line="360" w:lineRule="auto"/>
        <w:jc w:val="both"/>
        <w:rPr>
          <w:rFonts w:ascii="Graphik Regular" w:eastAsia="Calibri" w:hAnsi="Graphik Regular" w:cs="Times New Roman"/>
          <w:color w:val="595957"/>
          <w:sz w:val="19"/>
          <w:lang w:val="en-US"/>
        </w:rPr>
      </w:pPr>
      <w:r w:rsidRPr="00E904BD">
        <w:rPr>
          <w:rFonts w:ascii="Graphik Regular" w:eastAsia="Graphik Regular" w:hAnsi="Graphik Regular" w:cs="Times New Roman"/>
          <w:color w:val="595957"/>
          <w:sz w:val="19"/>
          <w:szCs w:val="19"/>
          <w:lang w:val="en-US"/>
        </w:rPr>
        <w:t>Uruguay has an adequate regulatory framework that benefits investors. Some regulations are of a general nature for all sectors and others are specific to the forestry sector.</w:t>
      </w:r>
    </w:p>
    <w:p w14:paraId="01D8AD81" w14:textId="77777777" w:rsidR="00E904BD" w:rsidRPr="00E904BD" w:rsidRDefault="00E904BD" w:rsidP="00E904BD">
      <w:pPr>
        <w:keepNext/>
        <w:keepLines/>
        <w:numPr>
          <w:ilvl w:val="1"/>
          <w:numId w:val="0"/>
        </w:numPr>
        <w:spacing w:before="520" w:after="360" w:line="240" w:lineRule="auto"/>
        <w:ind w:left="567" w:hanging="567"/>
        <w:contextualSpacing/>
        <w:outlineLvl w:val="1"/>
        <w:rPr>
          <w:rFonts w:ascii="Graphik Semibold" w:eastAsia="Times New Roman" w:hAnsi="Graphik Semibold" w:cs="Times New Roman (Títulos en alf"/>
          <w:caps/>
          <w:color w:val="005496"/>
          <w:spacing w:val="28"/>
          <w:kern w:val="28"/>
          <w:sz w:val="28"/>
          <w:szCs w:val="26"/>
          <w:lang w:val="en-US"/>
        </w:rPr>
      </w:pPr>
      <w:bookmarkStart w:id="1" w:name="_Toc74822428"/>
      <w:bookmarkStart w:id="2" w:name="_Toc101113575"/>
      <w:r w:rsidRPr="00E904BD">
        <w:rPr>
          <w:rFonts w:ascii="Graphik Semibold" w:eastAsia="Graphik Semibold" w:hAnsi="Graphik Semibold" w:cs="Times New Roman (Títulos en alf"/>
          <w:caps/>
          <w:color w:val="005496"/>
          <w:spacing w:val="28"/>
          <w:kern w:val="28"/>
          <w:sz w:val="28"/>
          <w:szCs w:val="28"/>
          <w:lang w:val="en-US"/>
        </w:rPr>
        <w:t>General Investment Promotion Regime (Law 16,906)</w:t>
      </w:r>
      <w:bookmarkEnd w:id="1"/>
      <w:bookmarkEnd w:id="2"/>
    </w:p>
    <w:p w14:paraId="7084D9D8" w14:textId="77777777" w:rsidR="00E904BD" w:rsidRPr="00E904BD" w:rsidRDefault="00E904BD" w:rsidP="00E904BD">
      <w:pPr>
        <w:autoSpaceDE w:val="0"/>
        <w:autoSpaceDN w:val="0"/>
        <w:adjustRightInd w:val="0"/>
        <w:spacing w:after="0" w:line="240" w:lineRule="auto"/>
        <w:jc w:val="both"/>
        <w:rPr>
          <w:rFonts w:ascii="Graphik Regular" w:eastAsia="Calibri" w:hAnsi="Graphik Regular" w:cs="Graphik Medium"/>
          <w:color w:val="595957"/>
          <w:sz w:val="19"/>
          <w:szCs w:val="19"/>
          <w:lang w:val="en-US"/>
        </w:rPr>
      </w:pPr>
      <w:r w:rsidRPr="00E904BD">
        <w:rPr>
          <w:rFonts w:ascii="Graphik Regular" w:eastAsia="Graphik Regular" w:hAnsi="Graphik Regular" w:cs="Graphik Medium"/>
          <w:color w:val="595957"/>
          <w:sz w:val="19"/>
          <w:szCs w:val="19"/>
          <w:lang w:val="en-US"/>
        </w:rPr>
        <w:t>The main investment promotion regime is framed under Law N</w:t>
      </w:r>
      <w:r w:rsidRPr="00E904BD">
        <w:rPr>
          <w:rFonts w:ascii="Graphik Regular" w:eastAsia="Calibri" w:hAnsi="Graphik Regular" w:cs="Times New Roman"/>
          <w:color w:val="595957"/>
          <w:sz w:val="19"/>
          <w:lang w:val="en-US"/>
        </w:rPr>
        <w:t>º</w:t>
      </w:r>
      <w:r w:rsidRPr="00E904BD">
        <w:rPr>
          <w:rFonts w:ascii="Graphik Regular" w:eastAsia="Graphik Regular" w:hAnsi="Graphik Regular" w:cs="Graphik Medium"/>
          <w:color w:val="595957"/>
          <w:sz w:val="19"/>
          <w:szCs w:val="19"/>
          <w:lang w:val="en-US"/>
        </w:rPr>
        <w:t xml:space="preserve"> 16,906, which declares of national interest the promotion and protection of investments made by domestic and foreign investors in national territory. The Law is regulated by </w:t>
      </w:r>
      <w:proofErr w:type="gramStart"/>
      <w:r w:rsidRPr="00E904BD">
        <w:rPr>
          <w:rFonts w:ascii="Graphik Regular" w:eastAsia="Graphik Regular" w:hAnsi="Graphik Regular" w:cs="Graphik Medium"/>
          <w:color w:val="595957"/>
          <w:sz w:val="19"/>
          <w:szCs w:val="19"/>
          <w:lang w:val="en-US"/>
        </w:rPr>
        <w:t>a number of</w:t>
      </w:r>
      <w:proofErr w:type="gramEnd"/>
      <w:r w:rsidRPr="00E904BD">
        <w:rPr>
          <w:rFonts w:ascii="Graphik Regular" w:eastAsia="Graphik Regular" w:hAnsi="Graphik Regular" w:cs="Graphik Medium"/>
          <w:color w:val="595957"/>
          <w:sz w:val="19"/>
          <w:szCs w:val="19"/>
          <w:lang w:val="en-US"/>
        </w:rPr>
        <w:t xml:space="preserve"> decrees and classifies tax incentives into two groups: general incentives for investment and incentives for specific investments. </w:t>
      </w:r>
    </w:p>
    <w:p w14:paraId="33A62537" w14:textId="77777777" w:rsidR="00E904BD" w:rsidRPr="00E904BD" w:rsidRDefault="00E904BD" w:rsidP="00E904BD">
      <w:pPr>
        <w:autoSpaceDE w:val="0"/>
        <w:autoSpaceDN w:val="0"/>
        <w:adjustRightInd w:val="0"/>
        <w:spacing w:after="0" w:line="240" w:lineRule="auto"/>
        <w:jc w:val="both"/>
        <w:rPr>
          <w:rFonts w:ascii="Graphik Regular" w:eastAsia="Calibri" w:hAnsi="Graphik Regular" w:cs="Graphik Medium"/>
          <w:color w:val="595957"/>
          <w:sz w:val="19"/>
          <w:szCs w:val="19"/>
          <w:lang w:val="en-US"/>
        </w:rPr>
      </w:pPr>
    </w:p>
    <w:p w14:paraId="07EE6F33" w14:textId="77777777" w:rsidR="00E904BD" w:rsidRPr="00E904BD" w:rsidRDefault="00E904BD" w:rsidP="00E904BD">
      <w:pPr>
        <w:autoSpaceDE w:val="0"/>
        <w:autoSpaceDN w:val="0"/>
        <w:adjustRightInd w:val="0"/>
        <w:spacing w:after="0" w:line="240" w:lineRule="auto"/>
        <w:jc w:val="both"/>
        <w:rPr>
          <w:rFonts w:ascii="Graphik Regular" w:eastAsia="Calibri" w:hAnsi="Graphik Regular" w:cs="Graphik Medium"/>
          <w:bCs/>
          <w:color w:val="595957"/>
          <w:sz w:val="19"/>
          <w:szCs w:val="19"/>
          <w:lang w:val="en-US"/>
        </w:rPr>
      </w:pPr>
      <w:r w:rsidRPr="00E904BD">
        <w:rPr>
          <w:rFonts w:ascii="Graphik Regular" w:eastAsia="Graphik Regular" w:hAnsi="Graphik Regular" w:cs="Graphik Medium"/>
          <w:color w:val="595957"/>
          <w:sz w:val="19"/>
          <w:szCs w:val="19"/>
          <w:lang w:val="en-US"/>
        </w:rPr>
        <w:t xml:space="preserve">The general investment promotion regime has undergone some recent modifications that make it even more advantageous. The following are the main benefits under </w:t>
      </w:r>
      <w:hyperlink r:id="rId7" w:history="1">
        <w:r w:rsidRPr="00E904BD">
          <w:rPr>
            <w:rFonts w:ascii="Graphik Regular" w:eastAsia="Graphik Regular" w:hAnsi="Graphik Regular" w:cs="Graphik Medium"/>
            <w:color w:val="595957"/>
            <w:sz w:val="19"/>
            <w:szCs w:val="19"/>
            <w:u w:val="single"/>
            <w:lang w:val="en-US"/>
          </w:rPr>
          <w:t>Decree 268/020</w:t>
        </w:r>
      </w:hyperlink>
      <w:r w:rsidRPr="00E904BD">
        <w:rPr>
          <w:rFonts w:ascii="Graphik Regular" w:eastAsia="Graphik Regular" w:hAnsi="Graphik Regular" w:cs="Graphik Medium"/>
          <w:b/>
          <w:bCs/>
          <w:color w:val="595957"/>
          <w:sz w:val="19"/>
          <w:szCs w:val="19"/>
          <w:lang w:val="en-US"/>
        </w:rPr>
        <w:t> </w:t>
      </w:r>
      <w:r w:rsidRPr="00E904BD">
        <w:rPr>
          <w:rFonts w:ascii="Graphik Regular" w:eastAsia="Graphik Regular" w:hAnsi="Graphik Regular" w:cs="Graphik Medium"/>
          <w:color w:val="595957"/>
          <w:sz w:val="19"/>
          <w:szCs w:val="19"/>
          <w:lang w:val="en-US"/>
        </w:rPr>
        <w:t>for investment projects submitted to COMAP</w:t>
      </w:r>
      <w:r w:rsidRPr="00E904BD">
        <w:rPr>
          <w:rFonts w:ascii="Graphik Regular" w:eastAsia="Calibri" w:hAnsi="Graphik Regular" w:cs="Graphik Medium"/>
          <w:bCs/>
          <w:color w:val="595957"/>
          <w:sz w:val="19"/>
          <w:szCs w:val="19"/>
          <w:vertAlign w:val="superscript"/>
          <w:lang w:val="en-US"/>
        </w:rPr>
        <w:footnoteReference w:id="1"/>
      </w:r>
      <w:r w:rsidRPr="00E904BD">
        <w:rPr>
          <w:rFonts w:ascii="Graphik Regular" w:eastAsia="Graphik Regular" w:hAnsi="Graphik Regular" w:cs="Graphik Medium"/>
          <w:color w:val="595957"/>
          <w:sz w:val="19"/>
          <w:szCs w:val="19"/>
          <w:lang w:val="en-US"/>
        </w:rPr>
        <w:t>:</w:t>
      </w:r>
    </w:p>
    <w:p w14:paraId="612C9E30" w14:textId="77777777" w:rsidR="00E904BD" w:rsidRPr="00E904BD" w:rsidRDefault="00E904BD" w:rsidP="00E904BD">
      <w:pPr>
        <w:autoSpaceDE w:val="0"/>
        <w:autoSpaceDN w:val="0"/>
        <w:adjustRightInd w:val="0"/>
        <w:spacing w:after="0" w:line="240" w:lineRule="auto"/>
        <w:jc w:val="both"/>
        <w:rPr>
          <w:rFonts w:ascii="Graphik Regular" w:eastAsia="Calibri" w:hAnsi="Graphik Regular" w:cs="Graphik Medium"/>
          <w:color w:val="595957"/>
          <w:sz w:val="19"/>
          <w:szCs w:val="19"/>
          <w:lang w:val="en-US"/>
        </w:rPr>
      </w:pPr>
    </w:p>
    <w:p w14:paraId="07BD8D27" w14:textId="77777777" w:rsidR="00E904BD" w:rsidRPr="00E904BD" w:rsidRDefault="00E904BD" w:rsidP="00E904BD">
      <w:pPr>
        <w:numPr>
          <w:ilvl w:val="0"/>
          <w:numId w:val="10"/>
        </w:numPr>
        <w:spacing w:after="0" w:line="240" w:lineRule="auto"/>
        <w:ind w:left="426" w:hanging="426"/>
        <w:jc w:val="both"/>
        <w:rPr>
          <w:rFonts w:ascii="Graphik Regular" w:eastAsia="Calibri" w:hAnsi="Graphik Regular" w:cs="Graphik Medium"/>
          <w:color w:val="595957"/>
          <w:sz w:val="19"/>
          <w:szCs w:val="19"/>
          <w:lang w:val="en-US"/>
        </w:rPr>
      </w:pPr>
      <w:r w:rsidRPr="00E904BD">
        <w:rPr>
          <w:rFonts w:ascii="Graphik Regular" w:eastAsia="Graphik Regular" w:hAnsi="Graphik Regular" w:cs="Graphik Medium"/>
          <w:b/>
          <w:bCs/>
          <w:color w:val="595957"/>
          <w:sz w:val="19"/>
          <w:szCs w:val="19"/>
          <w:lang w:val="en-US"/>
        </w:rPr>
        <w:t>IRAE</w:t>
      </w:r>
      <w:r w:rsidRPr="00E904BD">
        <w:rPr>
          <w:rFonts w:ascii="Graphik Regular" w:eastAsia="Graphik Regular" w:hAnsi="Graphik Regular" w:cs="Graphik Medium"/>
          <w:color w:val="595957"/>
          <w:sz w:val="19"/>
          <w:szCs w:val="19"/>
          <w:lang w:val="en-US"/>
        </w:rPr>
        <w:t xml:space="preserve"> (Income Tax on Economic Activities) </w:t>
      </w:r>
      <w:r w:rsidRPr="00E904BD">
        <w:rPr>
          <w:rFonts w:ascii="Graphik Regular" w:eastAsia="Graphik Regular" w:hAnsi="Graphik Regular" w:cs="Graphik Medium"/>
          <w:b/>
          <w:bCs/>
          <w:color w:val="595957"/>
          <w:sz w:val="19"/>
          <w:szCs w:val="19"/>
          <w:lang w:val="en-US"/>
        </w:rPr>
        <w:t>exemptions</w:t>
      </w:r>
      <w:r w:rsidRPr="00E904BD">
        <w:rPr>
          <w:rFonts w:ascii="Graphik Regular" w:eastAsia="Graphik Regular" w:hAnsi="Graphik Regular" w:cs="Graphik Medium"/>
          <w:color w:val="595957"/>
          <w:sz w:val="19"/>
          <w:szCs w:val="19"/>
          <w:lang w:val="en-US"/>
        </w:rPr>
        <w:t xml:space="preserve">: </w:t>
      </w:r>
      <w:r w:rsidRPr="00E904BD">
        <w:rPr>
          <w:rFonts w:ascii="Graphik Regular" w:eastAsia="Graphik Regular" w:hAnsi="Graphik Regular" w:cs="Graphik Medium"/>
          <w:b/>
          <w:bCs/>
          <w:color w:val="595957"/>
          <w:sz w:val="19"/>
          <w:szCs w:val="19"/>
          <w:lang w:val="en-US"/>
        </w:rPr>
        <w:t>from 30% to 100% of the investment for a minimum period of four years</w:t>
      </w:r>
      <w:r w:rsidRPr="00E904BD">
        <w:rPr>
          <w:rFonts w:ascii="Graphik Regular" w:eastAsia="Graphik Regular" w:hAnsi="Graphik Regular" w:cs="Graphik Medium"/>
          <w:color w:val="595957"/>
          <w:sz w:val="19"/>
          <w:szCs w:val="19"/>
          <w:lang w:val="en-US"/>
        </w:rPr>
        <w:t xml:space="preserve"> and a maximum of 25 years, depending on the amount invested and the score obtained in six indicators (or in the simplified employment matrix)</w:t>
      </w:r>
      <w:r w:rsidRPr="00E904BD">
        <w:rPr>
          <w:rFonts w:ascii="Graphik Regular" w:eastAsia="Calibri" w:hAnsi="Graphik Regular" w:cs="Graphik Medium"/>
          <w:color w:val="595957"/>
          <w:sz w:val="19"/>
          <w:szCs w:val="19"/>
          <w:vertAlign w:val="superscript"/>
          <w:lang w:val="en-US"/>
        </w:rPr>
        <w:footnoteReference w:id="2"/>
      </w:r>
      <w:r w:rsidRPr="00E904BD">
        <w:rPr>
          <w:rFonts w:ascii="Graphik Regular" w:eastAsia="Graphik Regular" w:hAnsi="Graphik Regular" w:cs="Graphik Medium"/>
          <w:color w:val="595957"/>
          <w:sz w:val="19"/>
          <w:szCs w:val="19"/>
          <w:lang w:val="en-US"/>
        </w:rPr>
        <w:t>:</w:t>
      </w:r>
    </w:p>
    <w:p w14:paraId="0DDCD25C" w14:textId="77777777" w:rsidR="00E904BD" w:rsidRPr="00E904BD" w:rsidRDefault="00E904BD" w:rsidP="00E904BD">
      <w:pPr>
        <w:spacing w:after="260" w:line="360" w:lineRule="auto"/>
        <w:ind w:left="426" w:hanging="426"/>
        <w:contextualSpacing/>
        <w:jc w:val="both"/>
        <w:rPr>
          <w:rFonts w:ascii="Graphik Regular" w:eastAsia="Calibri" w:hAnsi="Graphik Regular" w:cs="Graphik Medium"/>
          <w:color w:val="595957"/>
          <w:sz w:val="19"/>
          <w:szCs w:val="19"/>
          <w:lang w:val="en-US"/>
        </w:rPr>
      </w:pPr>
    </w:p>
    <w:p w14:paraId="6B7EC7F2" w14:textId="77777777" w:rsidR="00E904BD" w:rsidRPr="00E904BD" w:rsidRDefault="00E904BD" w:rsidP="00E904BD">
      <w:pPr>
        <w:numPr>
          <w:ilvl w:val="0"/>
          <w:numId w:val="8"/>
        </w:numPr>
        <w:spacing w:after="0" w:line="240" w:lineRule="auto"/>
        <w:ind w:left="851" w:hanging="425"/>
        <w:jc w:val="both"/>
        <w:rPr>
          <w:rFonts w:ascii="Graphik Regular" w:eastAsia="Calibri" w:hAnsi="Graphik Regular" w:cs="Graphik Medium"/>
          <w:color w:val="595957"/>
          <w:sz w:val="19"/>
          <w:szCs w:val="19"/>
          <w:lang w:val="en-US"/>
        </w:rPr>
      </w:pPr>
      <w:r w:rsidRPr="00E904BD">
        <w:rPr>
          <w:rFonts w:ascii="Graphik Regular" w:eastAsia="Graphik Regular" w:hAnsi="Graphik Regular" w:cs="Graphik Medium"/>
          <w:color w:val="595957"/>
          <w:sz w:val="19"/>
          <w:szCs w:val="19"/>
          <w:lang w:val="en-US"/>
        </w:rPr>
        <w:t>Employment</w:t>
      </w:r>
    </w:p>
    <w:p w14:paraId="79C9756A" w14:textId="77777777" w:rsidR="00E904BD" w:rsidRPr="00E904BD" w:rsidRDefault="00E904BD" w:rsidP="00E904BD">
      <w:pPr>
        <w:numPr>
          <w:ilvl w:val="0"/>
          <w:numId w:val="8"/>
        </w:numPr>
        <w:spacing w:after="0" w:line="240" w:lineRule="auto"/>
        <w:ind w:left="851" w:hanging="425"/>
        <w:jc w:val="both"/>
        <w:rPr>
          <w:rFonts w:ascii="Graphik Regular" w:eastAsia="Calibri" w:hAnsi="Graphik Regular" w:cs="Graphik Medium"/>
          <w:color w:val="595957"/>
          <w:sz w:val="19"/>
          <w:szCs w:val="19"/>
          <w:lang w:val="en-US"/>
        </w:rPr>
      </w:pPr>
      <w:r w:rsidRPr="00E904BD">
        <w:rPr>
          <w:rFonts w:ascii="Graphik Regular" w:eastAsia="Graphik Regular" w:hAnsi="Graphik Regular" w:cs="Graphik Medium"/>
          <w:color w:val="595957"/>
          <w:sz w:val="19"/>
          <w:szCs w:val="19"/>
          <w:lang w:val="en-US"/>
        </w:rPr>
        <w:t>Exports</w:t>
      </w:r>
    </w:p>
    <w:p w14:paraId="40AA4FEE" w14:textId="77777777" w:rsidR="00E904BD" w:rsidRPr="00E904BD" w:rsidRDefault="00E904BD" w:rsidP="00E904BD">
      <w:pPr>
        <w:numPr>
          <w:ilvl w:val="0"/>
          <w:numId w:val="8"/>
        </w:numPr>
        <w:spacing w:after="0" w:line="240" w:lineRule="auto"/>
        <w:ind w:left="851" w:hanging="425"/>
        <w:jc w:val="both"/>
        <w:rPr>
          <w:rFonts w:ascii="Graphik Regular" w:eastAsia="Calibri" w:hAnsi="Graphik Regular" w:cs="Graphik Medium"/>
          <w:color w:val="595957"/>
          <w:sz w:val="19"/>
          <w:szCs w:val="19"/>
          <w:lang w:val="en-US"/>
        </w:rPr>
      </w:pPr>
      <w:r w:rsidRPr="00E904BD">
        <w:rPr>
          <w:rFonts w:ascii="Graphik Regular" w:eastAsia="Graphik Regular" w:hAnsi="Graphik Regular" w:cs="Graphik Medium"/>
          <w:color w:val="595957"/>
          <w:sz w:val="19"/>
          <w:szCs w:val="19"/>
          <w:lang w:val="en-US"/>
        </w:rPr>
        <w:t>Decentralization</w:t>
      </w:r>
    </w:p>
    <w:p w14:paraId="60C93101" w14:textId="77777777" w:rsidR="00E904BD" w:rsidRPr="00E904BD" w:rsidRDefault="00E904BD" w:rsidP="00E904BD">
      <w:pPr>
        <w:numPr>
          <w:ilvl w:val="0"/>
          <w:numId w:val="8"/>
        </w:numPr>
        <w:spacing w:after="0" w:line="240" w:lineRule="auto"/>
        <w:ind w:left="851" w:hanging="425"/>
        <w:jc w:val="both"/>
        <w:rPr>
          <w:rFonts w:ascii="Graphik Regular" w:eastAsia="Calibri" w:hAnsi="Graphik Regular" w:cs="Graphik Medium"/>
          <w:color w:val="595957"/>
          <w:sz w:val="19"/>
          <w:szCs w:val="19"/>
          <w:lang w:val="en-US"/>
        </w:rPr>
      </w:pPr>
      <w:r w:rsidRPr="00E904BD">
        <w:rPr>
          <w:rFonts w:ascii="Graphik Regular" w:eastAsia="Graphik Regular" w:hAnsi="Graphik Regular" w:cs="Graphik Medium"/>
          <w:color w:val="595957"/>
          <w:sz w:val="19"/>
          <w:szCs w:val="19"/>
          <w:lang w:val="en-US"/>
        </w:rPr>
        <w:t>Cleaner technologies</w:t>
      </w:r>
    </w:p>
    <w:p w14:paraId="2169E183" w14:textId="77777777" w:rsidR="00E904BD" w:rsidRPr="00E904BD" w:rsidRDefault="00E904BD" w:rsidP="00E904BD">
      <w:pPr>
        <w:numPr>
          <w:ilvl w:val="0"/>
          <w:numId w:val="8"/>
        </w:numPr>
        <w:spacing w:after="0" w:line="240" w:lineRule="auto"/>
        <w:ind w:left="851" w:hanging="425"/>
        <w:jc w:val="both"/>
        <w:rPr>
          <w:rFonts w:ascii="Graphik Regular" w:eastAsia="Calibri" w:hAnsi="Graphik Regular" w:cs="Graphik Medium"/>
          <w:color w:val="595957"/>
          <w:sz w:val="19"/>
          <w:szCs w:val="19"/>
          <w:lang w:val="en-US"/>
        </w:rPr>
      </w:pPr>
      <w:r w:rsidRPr="00E904BD">
        <w:rPr>
          <w:rFonts w:ascii="Graphik Regular" w:eastAsia="Graphik Regular" w:hAnsi="Graphik Regular" w:cs="Graphik Medium"/>
          <w:color w:val="595957"/>
          <w:sz w:val="19"/>
          <w:szCs w:val="19"/>
          <w:lang w:val="en-US"/>
        </w:rPr>
        <w:t xml:space="preserve">Incorporation of R&amp;D </w:t>
      </w:r>
    </w:p>
    <w:p w14:paraId="75FD1283" w14:textId="77777777" w:rsidR="00E904BD" w:rsidRPr="00E904BD" w:rsidRDefault="00E904BD" w:rsidP="00E904BD">
      <w:pPr>
        <w:numPr>
          <w:ilvl w:val="0"/>
          <w:numId w:val="8"/>
        </w:numPr>
        <w:spacing w:after="0" w:line="240" w:lineRule="auto"/>
        <w:ind w:left="851" w:hanging="425"/>
        <w:jc w:val="both"/>
        <w:rPr>
          <w:rFonts w:ascii="Graphik Regular" w:eastAsia="Calibri" w:hAnsi="Graphik Regular" w:cs="Graphik Medium"/>
          <w:color w:val="595957"/>
          <w:sz w:val="19"/>
          <w:szCs w:val="19"/>
          <w:lang w:val="en-US"/>
        </w:rPr>
      </w:pPr>
      <w:r w:rsidRPr="00E904BD">
        <w:rPr>
          <w:rFonts w:ascii="Graphik Regular" w:eastAsia="Graphik Regular" w:hAnsi="Graphik Regular" w:cs="Graphik Medium"/>
          <w:color w:val="595957"/>
          <w:sz w:val="19"/>
          <w:szCs w:val="19"/>
          <w:lang w:val="en-US"/>
        </w:rPr>
        <w:t>Sector indicator</w:t>
      </w:r>
    </w:p>
    <w:p w14:paraId="08BC2713" w14:textId="77777777" w:rsidR="00E904BD" w:rsidRPr="00E904BD" w:rsidRDefault="00E904BD" w:rsidP="00E904BD">
      <w:pPr>
        <w:spacing w:after="260" w:line="360" w:lineRule="auto"/>
        <w:ind w:left="426" w:hanging="426"/>
        <w:contextualSpacing/>
        <w:jc w:val="both"/>
        <w:rPr>
          <w:rFonts w:ascii="Graphik Regular" w:eastAsia="Calibri" w:hAnsi="Graphik Regular" w:cs="Graphik Medium"/>
          <w:color w:val="595957"/>
          <w:sz w:val="19"/>
          <w:szCs w:val="19"/>
          <w:lang w:val="en-US"/>
        </w:rPr>
      </w:pPr>
    </w:p>
    <w:p w14:paraId="3533C491" w14:textId="77777777" w:rsidR="00E904BD" w:rsidRPr="00E904BD" w:rsidRDefault="00E904BD" w:rsidP="00E904BD">
      <w:pPr>
        <w:numPr>
          <w:ilvl w:val="0"/>
          <w:numId w:val="9"/>
        </w:numPr>
        <w:spacing w:after="0" w:line="240" w:lineRule="auto"/>
        <w:ind w:left="426" w:hanging="426"/>
        <w:jc w:val="both"/>
        <w:rPr>
          <w:rFonts w:ascii="Graphik Regular" w:eastAsia="Calibri" w:hAnsi="Graphik Regular" w:cs="Graphik Medium"/>
          <w:color w:val="595957"/>
          <w:sz w:val="19"/>
          <w:szCs w:val="19"/>
          <w:lang w:val="en-US"/>
        </w:rPr>
      </w:pPr>
      <w:r w:rsidRPr="00E904BD">
        <w:rPr>
          <w:rFonts w:ascii="Graphik Regular" w:eastAsia="Graphik Regular" w:hAnsi="Graphik Regular" w:cs="Graphik Medium"/>
          <w:b/>
          <w:bCs/>
          <w:color w:val="595957"/>
          <w:sz w:val="19"/>
          <w:szCs w:val="19"/>
          <w:lang w:val="en-US"/>
        </w:rPr>
        <w:t>The IRAE exemption may reach up to 90% of the tax payable</w:t>
      </w:r>
      <w:r w:rsidRPr="00E904BD">
        <w:rPr>
          <w:rFonts w:ascii="Graphik Regular" w:eastAsia="Graphik Regular" w:hAnsi="Graphik Regular" w:cs="Graphik Medium"/>
          <w:color w:val="595957"/>
          <w:sz w:val="19"/>
          <w:szCs w:val="19"/>
          <w:lang w:val="en-US"/>
        </w:rPr>
        <w:t xml:space="preserve"> in each fiscal year included in the promotional tax declaration, so the minimum effective IRAE rate is 2.5%.</w:t>
      </w:r>
    </w:p>
    <w:p w14:paraId="1E08BF27" w14:textId="77777777" w:rsidR="00E904BD" w:rsidRPr="00E904BD" w:rsidRDefault="00E904BD" w:rsidP="00E904BD">
      <w:pPr>
        <w:spacing w:after="260" w:line="360" w:lineRule="auto"/>
        <w:ind w:left="426" w:hanging="426"/>
        <w:contextualSpacing/>
        <w:jc w:val="both"/>
        <w:rPr>
          <w:rFonts w:ascii="Graphik Regular" w:eastAsia="Calibri" w:hAnsi="Graphik Regular" w:cs="Graphik Medium"/>
          <w:color w:val="595957"/>
          <w:sz w:val="19"/>
          <w:szCs w:val="19"/>
          <w:lang w:val="en-US"/>
        </w:rPr>
      </w:pPr>
    </w:p>
    <w:p w14:paraId="5099F1CA" w14:textId="77777777" w:rsidR="00E904BD" w:rsidRPr="00E904BD" w:rsidRDefault="00E904BD" w:rsidP="00E904BD">
      <w:pPr>
        <w:numPr>
          <w:ilvl w:val="0"/>
          <w:numId w:val="9"/>
        </w:numPr>
        <w:spacing w:after="0" w:line="240" w:lineRule="auto"/>
        <w:ind w:left="426" w:hanging="426"/>
        <w:jc w:val="both"/>
        <w:rPr>
          <w:rFonts w:ascii="Graphik Regular" w:eastAsia="Calibri" w:hAnsi="Graphik Regular" w:cs="Graphik Medium"/>
          <w:b/>
          <w:color w:val="595957"/>
          <w:sz w:val="19"/>
          <w:szCs w:val="19"/>
          <w:lang w:val="en-US"/>
        </w:rPr>
      </w:pPr>
      <w:r w:rsidRPr="00E904BD">
        <w:rPr>
          <w:rFonts w:ascii="Graphik Regular" w:eastAsia="Graphik Regular" w:hAnsi="Graphik Regular" w:cs="Graphik Medium"/>
          <w:b/>
          <w:bCs/>
          <w:color w:val="595957"/>
          <w:sz w:val="19"/>
          <w:szCs w:val="19"/>
          <w:lang w:val="en-US"/>
        </w:rPr>
        <w:t>The exemption period may be suspended for up to two consecutive fiscal years or not.</w:t>
      </w:r>
    </w:p>
    <w:p w14:paraId="3CDDBC2F" w14:textId="77777777" w:rsidR="00E904BD" w:rsidRPr="00E904BD" w:rsidRDefault="00E904BD" w:rsidP="00E904BD">
      <w:pPr>
        <w:spacing w:after="260" w:line="360" w:lineRule="auto"/>
        <w:ind w:left="426" w:hanging="426"/>
        <w:contextualSpacing/>
        <w:jc w:val="both"/>
        <w:rPr>
          <w:rFonts w:ascii="Graphik Regular" w:eastAsia="Calibri" w:hAnsi="Graphik Regular" w:cs="Graphik Medium"/>
          <w:color w:val="595957"/>
          <w:sz w:val="19"/>
          <w:szCs w:val="19"/>
          <w:lang w:val="en-US"/>
        </w:rPr>
      </w:pPr>
    </w:p>
    <w:p w14:paraId="21891CD6" w14:textId="77777777" w:rsidR="00E904BD" w:rsidRPr="00E904BD" w:rsidRDefault="00E904BD" w:rsidP="00E904BD">
      <w:pPr>
        <w:numPr>
          <w:ilvl w:val="0"/>
          <w:numId w:val="9"/>
        </w:numPr>
        <w:spacing w:after="0" w:line="240" w:lineRule="auto"/>
        <w:ind w:left="426" w:hanging="426"/>
        <w:jc w:val="both"/>
        <w:rPr>
          <w:rFonts w:ascii="Graphik Regular" w:eastAsia="Calibri" w:hAnsi="Graphik Regular" w:cs="Graphik Medium"/>
          <w:b/>
          <w:color w:val="595957"/>
          <w:sz w:val="19"/>
          <w:szCs w:val="19"/>
          <w:lang w:val="en-US"/>
        </w:rPr>
      </w:pPr>
      <w:r w:rsidRPr="00E904BD">
        <w:rPr>
          <w:rFonts w:ascii="Graphik Regular" w:eastAsia="Graphik Regular" w:hAnsi="Graphik Regular" w:cs="Graphik Medium"/>
          <w:b/>
          <w:bCs/>
          <w:color w:val="595957"/>
          <w:sz w:val="19"/>
          <w:szCs w:val="19"/>
          <w:lang w:val="en-US"/>
        </w:rPr>
        <w:t>VAT refund</w:t>
      </w:r>
      <w:r w:rsidRPr="00E904BD">
        <w:rPr>
          <w:rFonts w:ascii="Graphik Regular" w:eastAsia="Graphik Regular" w:hAnsi="Graphik Regular" w:cs="Graphik Medium"/>
          <w:color w:val="595957"/>
          <w:sz w:val="19"/>
          <w:szCs w:val="19"/>
          <w:lang w:val="en-US"/>
        </w:rPr>
        <w:t xml:space="preserve"> for the local purchase of materials and services for civil works and personal property for the investment project.</w:t>
      </w:r>
    </w:p>
    <w:p w14:paraId="2423F557" w14:textId="77777777" w:rsidR="00E904BD" w:rsidRPr="00E904BD" w:rsidRDefault="00E904BD" w:rsidP="00E904BD">
      <w:pPr>
        <w:spacing w:after="260" w:line="360" w:lineRule="auto"/>
        <w:ind w:left="426" w:hanging="426"/>
        <w:contextualSpacing/>
        <w:jc w:val="both"/>
        <w:rPr>
          <w:rFonts w:ascii="Graphik Regular" w:eastAsia="Calibri" w:hAnsi="Graphik Regular" w:cs="Graphik Medium"/>
          <w:color w:val="595957"/>
          <w:sz w:val="19"/>
          <w:szCs w:val="19"/>
          <w:lang w:val="en-US"/>
        </w:rPr>
      </w:pPr>
    </w:p>
    <w:p w14:paraId="1287DBE8" w14:textId="77777777" w:rsidR="00E904BD" w:rsidRPr="00E904BD" w:rsidRDefault="00E904BD" w:rsidP="00E904BD">
      <w:pPr>
        <w:numPr>
          <w:ilvl w:val="0"/>
          <w:numId w:val="9"/>
        </w:numPr>
        <w:spacing w:after="0" w:line="240" w:lineRule="auto"/>
        <w:ind w:left="426" w:hanging="426"/>
        <w:jc w:val="both"/>
        <w:rPr>
          <w:rFonts w:ascii="Graphik Regular" w:eastAsia="Calibri" w:hAnsi="Graphik Regular" w:cs="Graphik Medium"/>
          <w:color w:val="595957"/>
          <w:sz w:val="19"/>
          <w:szCs w:val="19"/>
          <w:lang w:val="en-US"/>
        </w:rPr>
      </w:pPr>
      <w:r w:rsidRPr="00E904BD">
        <w:rPr>
          <w:rFonts w:ascii="Graphik Regular" w:eastAsia="Graphik Regular" w:hAnsi="Graphik Regular" w:cs="Graphik Medium"/>
          <w:b/>
          <w:bCs/>
          <w:color w:val="595957"/>
          <w:sz w:val="19"/>
          <w:szCs w:val="19"/>
          <w:lang w:val="en-US"/>
        </w:rPr>
        <w:t>Wealth Tax exemptions:</w:t>
      </w:r>
    </w:p>
    <w:p w14:paraId="010C09D5" w14:textId="77777777" w:rsidR="00E904BD" w:rsidRPr="00E904BD" w:rsidRDefault="00E904BD" w:rsidP="00E904BD">
      <w:pPr>
        <w:spacing w:after="260" w:line="360" w:lineRule="auto"/>
        <w:ind w:left="426" w:hanging="426"/>
        <w:contextualSpacing/>
        <w:jc w:val="both"/>
        <w:rPr>
          <w:rFonts w:ascii="Graphik Regular" w:eastAsia="Calibri" w:hAnsi="Graphik Regular" w:cs="Graphik Medium"/>
          <w:color w:val="595957"/>
          <w:sz w:val="19"/>
          <w:szCs w:val="19"/>
          <w:lang w:val="en-US"/>
        </w:rPr>
      </w:pPr>
    </w:p>
    <w:p w14:paraId="45E1ECD9" w14:textId="77777777" w:rsidR="00E904BD" w:rsidRPr="00E904BD" w:rsidRDefault="00E904BD" w:rsidP="00E904BD">
      <w:pPr>
        <w:numPr>
          <w:ilvl w:val="1"/>
          <w:numId w:val="11"/>
        </w:numPr>
        <w:spacing w:after="0" w:line="240" w:lineRule="auto"/>
        <w:jc w:val="both"/>
        <w:rPr>
          <w:rFonts w:ascii="Graphik Regular" w:eastAsia="Calibri" w:hAnsi="Graphik Regular" w:cs="Graphik Medium"/>
          <w:color w:val="595957"/>
          <w:sz w:val="19"/>
          <w:szCs w:val="19"/>
          <w:lang w:val="en-US"/>
        </w:rPr>
      </w:pPr>
      <w:r w:rsidRPr="00E904BD">
        <w:rPr>
          <w:rFonts w:ascii="Graphik Regular" w:eastAsia="Graphik Regular" w:hAnsi="Graphik Regular" w:cs="Graphik Medium"/>
          <w:color w:val="595957"/>
          <w:sz w:val="19"/>
          <w:szCs w:val="19"/>
          <w:lang w:val="en-US"/>
        </w:rPr>
        <w:lastRenderedPageBreak/>
        <w:t>On civil works for eight years in Montevideo and for ten years in the Interior of the country.</w:t>
      </w:r>
    </w:p>
    <w:p w14:paraId="07480AB7" w14:textId="77777777" w:rsidR="00E904BD" w:rsidRPr="00E904BD" w:rsidRDefault="00E904BD" w:rsidP="00E904BD">
      <w:pPr>
        <w:numPr>
          <w:ilvl w:val="1"/>
          <w:numId w:val="11"/>
        </w:numPr>
        <w:spacing w:after="0" w:line="240" w:lineRule="auto"/>
        <w:jc w:val="both"/>
        <w:rPr>
          <w:rFonts w:ascii="Graphik Regular" w:eastAsia="Calibri" w:hAnsi="Graphik Regular" w:cs="Graphik Medium"/>
          <w:color w:val="595957"/>
          <w:sz w:val="19"/>
          <w:szCs w:val="19"/>
          <w:lang w:val="en-US"/>
        </w:rPr>
      </w:pPr>
      <w:r w:rsidRPr="00E904BD">
        <w:rPr>
          <w:rFonts w:ascii="Graphik Regular" w:eastAsia="Graphik Regular" w:hAnsi="Graphik Regular" w:cs="Graphik Medium"/>
          <w:color w:val="595957"/>
          <w:sz w:val="19"/>
          <w:szCs w:val="19"/>
          <w:lang w:val="en-US"/>
        </w:rPr>
        <w:t>On movable fixed assets included in the eligible investment for their entire useful life.</w:t>
      </w:r>
    </w:p>
    <w:p w14:paraId="71CFD12A" w14:textId="77777777" w:rsidR="00E904BD" w:rsidRPr="00E904BD" w:rsidRDefault="00E904BD" w:rsidP="00E904BD">
      <w:pPr>
        <w:spacing w:after="260" w:line="360" w:lineRule="auto"/>
        <w:ind w:left="426" w:hanging="426"/>
        <w:contextualSpacing/>
        <w:jc w:val="both"/>
        <w:rPr>
          <w:rFonts w:ascii="Graphik Regular" w:eastAsia="Calibri" w:hAnsi="Graphik Regular" w:cs="Graphik Medium"/>
          <w:color w:val="595957"/>
          <w:sz w:val="19"/>
          <w:szCs w:val="19"/>
          <w:lang w:val="en-US"/>
        </w:rPr>
      </w:pPr>
    </w:p>
    <w:p w14:paraId="4C982B6C" w14:textId="77777777" w:rsidR="00E904BD" w:rsidRPr="00E904BD" w:rsidRDefault="00E904BD" w:rsidP="00E904BD">
      <w:pPr>
        <w:numPr>
          <w:ilvl w:val="0"/>
          <w:numId w:val="9"/>
        </w:numPr>
        <w:spacing w:after="0" w:line="240" w:lineRule="auto"/>
        <w:ind w:left="426" w:hanging="426"/>
        <w:jc w:val="both"/>
        <w:rPr>
          <w:rFonts w:ascii="Graphik Regular" w:eastAsia="Calibri" w:hAnsi="Graphik Regular" w:cs="Graphik Medium"/>
          <w:color w:val="595957"/>
          <w:sz w:val="19"/>
          <w:szCs w:val="19"/>
          <w:lang w:val="en-US"/>
        </w:rPr>
      </w:pPr>
      <w:r w:rsidRPr="00E904BD">
        <w:rPr>
          <w:rFonts w:ascii="Graphik Regular" w:eastAsia="Graphik Regular" w:hAnsi="Graphik Regular" w:cs="Graphik Medium"/>
          <w:b/>
          <w:bCs/>
          <w:color w:val="595957"/>
          <w:sz w:val="19"/>
          <w:szCs w:val="19"/>
          <w:lang w:val="en-US"/>
        </w:rPr>
        <w:t>Exemptions from import duties or taxes, including VAT</w:t>
      </w:r>
      <w:r w:rsidRPr="00E904BD">
        <w:rPr>
          <w:rFonts w:ascii="Graphik Regular" w:eastAsia="Graphik Regular" w:hAnsi="Graphik Regular" w:cs="Graphik Medium"/>
          <w:color w:val="595957"/>
          <w:sz w:val="19"/>
          <w:szCs w:val="19"/>
          <w:lang w:val="en-US"/>
        </w:rPr>
        <w:t xml:space="preserve"> on movable fixed assets and materials for civil works, which are declared non-competitive with domestic industry.</w:t>
      </w:r>
    </w:p>
    <w:p w14:paraId="04C6AF1F" w14:textId="77777777" w:rsidR="00E904BD" w:rsidRPr="00E904BD" w:rsidRDefault="00E904BD" w:rsidP="00E904BD">
      <w:pPr>
        <w:spacing w:after="260" w:line="360" w:lineRule="auto"/>
        <w:jc w:val="both"/>
        <w:rPr>
          <w:rFonts w:ascii="Graphik Regular" w:eastAsia="Calibri" w:hAnsi="Graphik Regular" w:cs="Graphik Medium"/>
          <w:color w:val="595957"/>
          <w:sz w:val="19"/>
          <w:szCs w:val="19"/>
          <w:lang w:val="en-US"/>
        </w:rPr>
      </w:pPr>
    </w:p>
    <w:p w14:paraId="5538E66B" w14:textId="77777777" w:rsidR="00E904BD" w:rsidRPr="00E904BD" w:rsidRDefault="00E904BD" w:rsidP="00E904BD">
      <w:pPr>
        <w:shd w:val="clear" w:color="auto" w:fill="FFFFFF"/>
        <w:spacing w:after="260" w:line="360" w:lineRule="auto"/>
        <w:jc w:val="both"/>
        <w:textAlignment w:val="baseline"/>
        <w:rPr>
          <w:rFonts w:ascii="Graphik Regular" w:eastAsia="Calibri" w:hAnsi="Graphik Regular" w:cs="Times New Roman"/>
          <w:b/>
          <w:bCs/>
          <w:color w:val="595957"/>
          <w:sz w:val="19"/>
          <w:lang w:val="en-US"/>
        </w:rPr>
      </w:pPr>
      <w:r w:rsidRPr="00E904BD">
        <w:rPr>
          <w:rFonts w:ascii="Graphik Regular" w:eastAsia="Graphik Regular" w:hAnsi="Graphik Regular" w:cs="Times New Roman"/>
          <w:b/>
          <w:bCs/>
          <w:color w:val="595957"/>
          <w:sz w:val="19"/>
          <w:szCs w:val="19"/>
          <w:lang w:val="en-US"/>
        </w:rPr>
        <w:t>Eligible Investment</w:t>
      </w:r>
    </w:p>
    <w:p w14:paraId="02EC6C85" w14:textId="77777777" w:rsidR="00E904BD" w:rsidRPr="00E904BD" w:rsidRDefault="00E904BD" w:rsidP="00E904BD">
      <w:pPr>
        <w:numPr>
          <w:ilvl w:val="0"/>
          <w:numId w:val="7"/>
        </w:numPr>
        <w:spacing w:before="120" w:after="240" w:line="360" w:lineRule="auto"/>
        <w:ind w:left="567" w:hanging="397"/>
        <w:contextualSpacing/>
        <w:jc w:val="both"/>
        <w:rPr>
          <w:rFonts w:ascii="Graphik Regular" w:eastAsia="Calibri" w:hAnsi="Graphik Regular" w:cs="Graphik Medium"/>
          <w:color w:val="595957"/>
          <w:sz w:val="19"/>
          <w:szCs w:val="19"/>
          <w:lang w:val="en-US"/>
        </w:rPr>
      </w:pPr>
      <w:r w:rsidRPr="00E904BD">
        <w:rPr>
          <w:rFonts w:ascii="Graphik Regular" w:eastAsia="Graphik Regular" w:hAnsi="Graphik Regular" w:cs="Graphik Medium"/>
          <w:b/>
          <w:bCs/>
          <w:color w:val="595957"/>
          <w:sz w:val="19"/>
          <w:szCs w:val="19"/>
          <w:lang w:val="en-US"/>
        </w:rPr>
        <w:t>Movable property</w:t>
      </w:r>
      <w:r w:rsidRPr="00E904BD">
        <w:rPr>
          <w:rFonts w:ascii="Graphik Regular" w:eastAsia="Graphik Regular" w:hAnsi="Graphik Regular" w:cs="Graphik Medium"/>
          <w:color w:val="595957"/>
          <w:sz w:val="19"/>
          <w:szCs w:val="19"/>
          <w:lang w:val="en-US"/>
        </w:rPr>
        <w:t xml:space="preserve"> destined to the activity of the company with a minimum total value per item purchased of 500 UI</w:t>
      </w:r>
      <w:r w:rsidRPr="00E904BD">
        <w:rPr>
          <w:rFonts w:ascii="Graphik Regular" w:eastAsia="Calibri" w:hAnsi="Graphik Regular" w:cs="Graphik Medium"/>
          <w:color w:val="595957"/>
          <w:sz w:val="19"/>
          <w:szCs w:val="19"/>
          <w:vertAlign w:val="superscript"/>
          <w:lang w:val="en-US"/>
        </w:rPr>
        <w:footnoteReference w:id="3"/>
      </w:r>
      <w:r w:rsidRPr="00E904BD">
        <w:rPr>
          <w:rFonts w:ascii="Graphik Regular" w:eastAsia="Graphik Regular" w:hAnsi="Graphik Regular" w:cs="Graphik Medium"/>
          <w:color w:val="595957"/>
          <w:sz w:val="19"/>
          <w:szCs w:val="19"/>
          <w:lang w:val="en-US"/>
        </w:rPr>
        <w:t xml:space="preserve"> (Indexed Units). Property intended for household use, vehicles acquired to be leased by companies whose activity is leasing vehicles without a driver (except electric passenger vehicles) and non-utility vehicles are excluded</w:t>
      </w:r>
      <w:r w:rsidRPr="00E904BD">
        <w:rPr>
          <w:rFonts w:ascii="Graphik Regular" w:eastAsia="Calibri" w:hAnsi="Graphik Regular" w:cs="Graphik Medium"/>
          <w:color w:val="595957"/>
          <w:sz w:val="19"/>
          <w:szCs w:val="19"/>
          <w:vertAlign w:val="superscript"/>
          <w:lang w:val="en-US"/>
        </w:rPr>
        <w:footnoteReference w:id="4"/>
      </w:r>
      <w:r w:rsidRPr="00E904BD">
        <w:rPr>
          <w:rFonts w:ascii="Graphik Regular" w:eastAsia="Graphik Regular" w:hAnsi="Graphik Regular" w:cs="Graphik Medium"/>
          <w:color w:val="595957"/>
          <w:sz w:val="19"/>
          <w:szCs w:val="19"/>
          <w:lang w:val="en-US"/>
        </w:rPr>
        <w:t>.</w:t>
      </w:r>
    </w:p>
    <w:p w14:paraId="430BCF08" w14:textId="77777777" w:rsidR="00E904BD" w:rsidRPr="00E904BD" w:rsidRDefault="00E904BD" w:rsidP="00E904BD">
      <w:pPr>
        <w:numPr>
          <w:ilvl w:val="0"/>
          <w:numId w:val="7"/>
        </w:numPr>
        <w:spacing w:before="120" w:after="240" w:line="360" w:lineRule="auto"/>
        <w:ind w:left="567" w:hanging="397"/>
        <w:contextualSpacing/>
        <w:jc w:val="both"/>
        <w:rPr>
          <w:rFonts w:ascii="Graphik Regular" w:eastAsia="Calibri" w:hAnsi="Graphik Regular" w:cs="Graphik Medium"/>
          <w:color w:val="595957"/>
          <w:sz w:val="19"/>
          <w:szCs w:val="19"/>
          <w:lang w:val="en-US"/>
        </w:rPr>
      </w:pPr>
      <w:r w:rsidRPr="00E904BD">
        <w:rPr>
          <w:rFonts w:ascii="Graphik Regular" w:eastAsia="Graphik Regular" w:hAnsi="Graphik Regular" w:cs="Graphik Medium"/>
          <w:b/>
          <w:bCs/>
          <w:color w:val="595957"/>
          <w:sz w:val="19"/>
          <w:szCs w:val="19"/>
          <w:lang w:val="en-US"/>
        </w:rPr>
        <w:t>Used goods</w:t>
      </w:r>
      <w:r w:rsidRPr="00E904BD">
        <w:rPr>
          <w:rFonts w:ascii="Graphik Regular" w:eastAsia="Graphik Regular" w:hAnsi="Graphik Regular" w:cs="Graphik Medium"/>
          <w:color w:val="595957"/>
          <w:sz w:val="19"/>
          <w:szCs w:val="19"/>
          <w:lang w:val="en-US"/>
        </w:rPr>
        <w:t xml:space="preserve"> purchased locally, </w:t>
      </w:r>
      <w:proofErr w:type="gramStart"/>
      <w:r w:rsidRPr="00E904BD">
        <w:rPr>
          <w:rFonts w:ascii="Graphik Regular" w:eastAsia="Graphik Regular" w:hAnsi="Graphik Regular" w:cs="Graphik Medium"/>
          <w:color w:val="595957"/>
          <w:sz w:val="19"/>
          <w:szCs w:val="19"/>
          <w:lang w:val="en-US"/>
        </w:rPr>
        <w:t>directly</w:t>
      </w:r>
      <w:proofErr w:type="gramEnd"/>
      <w:r w:rsidRPr="00E904BD">
        <w:rPr>
          <w:rFonts w:ascii="Graphik Regular" w:eastAsia="Graphik Regular" w:hAnsi="Graphik Regular" w:cs="Graphik Medium"/>
          <w:color w:val="595957"/>
          <w:sz w:val="19"/>
          <w:szCs w:val="19"/>
          <w:lang w:val="en-US"/>
        </w:rPr>
        <w:t xml:space="preserve"> or indirectly involved in the production process, will be eligible, provided that they have never been subject to tax benefits before, and they are not older than 3 years from the date of first purchase in the country.</w:t>
      </w:r>
    </w:p>
    <w:p w14:paraId="37123FE6" w14:textId="77777777" w:rsidR="00E904BD" w:rsidRPr="00E904BD" w:rsidRDefault="00E904BD" w:rsidP="00E904BD">
      <w:pPr>
        <w:numPr>
          <w:ilvl w:val="0"/>
          <w:numId w:val="7"/>
        </w:numPr>
        <w:spacing w:before="120" w:after="240" w:line="360" w:lineRule="auto"/>
        <w:ind w:left="567" w:hanging="397"/>
        <w:contextualSpacing/>
        <w:jc w:val="both"/>
        <w:rPr>
          <w:rFonts w:ascii="Graphik Regular" w:eastAsia="Calibri" w:hAnsi="Graphik Regular" w:cs="Graphik Medium"/>
          <w:color w:val="595957"/>
          <w:sz w:val="19"/>
          <w:szCs w:val="19"/>
          <w:lang w:val="en-US"/>
        </w:rPr>
      </w:pPr>
      <w:r w:rsidRPr="00E904BD">
        <w:rPr>
          <w:rFonts w:ascii="Graphik Regular" w:eastAsia="Graphik Regular" w:hAnsi="Graphik Regular" w:cs="Graphik Medium"/>
          <w:color w:val="595957"/>
          <w:sz w:val="19"/>
          <w:szCs w:val="19"/>
          <w:lang w:val="en-US"/>
        </w:rPr>
        <w:t>In the case of investments in renewable energies—photovoltaic solar panels—, those that account for up to 20% of the total investment project submitted will be eligible and must also score at least 2 weighted points in the Employment Generation indicator.</w:t>
      </w:r>
    </w:p>
    <w:p w14:paraId="522A2ACD" w14:textId="77777777" w:rsidR="00E904BD" w:rsidRPr="00E904BD" w:rsidRDefault="00E904BD" w:rsidP="00E904BD">
      <w:pPr>
        <w:numPr>
          <w:ilvl w:val="0"/>
          <w:numId w:val="7"/>
        </w:numPr>
        <w:spacing w:before="120" w:after="240" w:line="360" w:lineRule="auto"/>
        <w:ind w:left="567" w:hanging="397"/>
        <w:contextualSpacing/>
        <w:jc w:val="both"/>
        <w:rPr>
          <w:rFonts w:ascii="Graphik Regular" w:eastAsia="Calibri" w:hAnsi="Graphik Regular" w:cs="Graphik Medium"/>
          <w:color w:val="595957"/>
          <w:sz w:val="19"/>
          <w:szCs w:val="19"/>
          <w:lang w:val="en-US"/>
        </w:rPr>
      </w:pPr>
      <w:r w:rsidRPr="00E904BD">
        <w:rPr>
          <w:rFonts w:ascii="Graphik Regular" w:eastAsia="Graphik Regular" w:hAnsi="Graphik Regular" w:cs="Graphik Medium"/>
          <w:color w:val="595957"/>
          <w:sz w:val="19"/>
          <w:szCs w:val="19"/>
          <w:lang w:val="en-US"/>
        </w:rPr>
        <w:t xml:space="preserve">The construction of </w:t>
      </w:r>
      <w:r w:rsidRPr="00E904BD">
        <w:rPr>
          <w:rFonts w:ascii="Graphik Regular" w:eastAsia="Graphik Regular" w:hAnsi="Graphik Regular" w:cs="Graphik Medium"/>
          <w:b/>
          <w:bCs/>
          <w:color w:val="595957"/>
          <w:sz w:val="19"/>
          <w:szCs w:val="19"/>
          <w:lang w:val="en-US"/>
        </w:rPr>
        <w:t>properties or fixed improvements</w:t>
      </w:r>
      <w:r w:rsidRPr="00E904BD">
        <w:rPr>
          <w:rFonts w:ascii="Graphik Regular" w:eastAsia="Graphik Regular" w:hAnsi="Graphik Regular" w:cs="Graphik Medium"/>
          <w:color w:val="595957"/>
          <w:sz w:val="19"/>
          <w:szCs w:val="19"/>
          <w:lang w:val="en-US"/>
        </w:rPr>
        <w:t xml:space="preserve"> in self-owned properties, excluding those destined for housing and fixed improvements in properties owned by third parties, </w:t>
      </w:r>
      <w:proofErr w:type="gramStart"/>
      <w:r w:rsidRPr="00E904BD">
        <w:rPr>
          <w:rFonts w:ascii="Graphik Regular" w:eastAsia="Graphik Regular" w:hAnsi="Graphik Regular" w:cs="Graphik Medium"/>
          <w:color w:val="595957"/>
          <w:sz w:val="19"/>
          <w:szCs w:val="19"/>
          <w:lang w:val="en-US"/>
        </w:rPr>
        <w:t>provided that</w:t>
      </w:r>
      <w:proofErr w:type="gramEnd"/>
      <w:r w:rsidRPr="00E904BD">
        <w:rPr>
          <w:rFonts w:ascii="Graphik Regular" w:eastAsia="Graphik Regular" w:hAnsi="Graphik Regular" w:cs="Graphik Medium"/>
          <w:color w:val="595957"/>
          <w:sz w:val="19"/>
          <w:szCs w:val="19"/>
          <w:lang w:val="en-US"/>
        </w:rPr>
        <w:t xml:space="preserve"> there is a contract with a minimum remaining term of three years.</w:t>
      </w:r>
    </w:p>
    <w:p w14:paraId="36B8E8EB" w14:textId="77777777" w:rsidR="00E904BD" w:rsidRPr="00E904BD" w:rsidRDefault="00E904BD" w:rsidP="00E904BD">
      <w:pPr>
        <w:numPr>
          <w:ilvl w:val="0"/>
          <w:numId w:val="7"/>
        </w:numPr>
        <w:spacing w:before="120" w:after="240" w:line="360" w:lineRule="auto"/>
        <w:ind w:left="567" w:hanging="397"/>
        <w:contextualSpacing/>
        <w:jc w:val="both"/>
        <w:rPr>
          <w:rFonts w:ascii="Graphik Regular" w:eastAsia="Calibri" w:hAnsi="Graphik Regular" w:cs="Graphik Medium"/>
          <w:color w:val="595957"/>
          <w:sz w:val="19"/>
          <w:szCs w:val="19"/>
          <w:lang w:val="en-US"/>
        </w:rPr>
      </w:pPr>
      <w:r w:rsidRPr="00E904BD">
        <w:rPr>
          <w:rFonts w:ascii="Graphik Regular" w:eastAsia="Graphik Regular" w:hAnsi="Graphik Regular" w:cs="Graphik Medium"/>
          <w:color w:val="595957"/>
          <w:sz w:val="19"/>
          <w:szCs w:val="19"/>
          <w:lang w:val="en-US"/>
        </w:rPr>
        <w:t>Seedlings and the costs of planting multi-annual fruit trees and shrubs.</w:t>
      </w:r>
    </w:p>
    <w:p w14:paraId="6ECC4F2B" w14:textId="77777777" w:rsidR="00E904BD" w:rsidRPr="00E904BD" w:rsidRDefault="00E904BD" w:rsidP="00E904BD">
      <w:pPr>
        <w:numPr>
          <w:ilvl w:val="0"/>
          <w:numId w:val="7"/>
        </w:numPr>
        <w:spacing w:before="120" w:after="240" w:line="360" w:lineRule="auto"/>
        <w:ind w:left="567" w:hanging="397"/>
        <w:contextualSpacing/>
        <w:jc w:val="both"/>
        <w:rPr>
          <w:rFonts w:ascii="Graphik Regular" w:eastAsia="Calibri" w:hAnsi="Graphik Regular" w:cs="Graphik Medium"/>
          <w:color w:val="595957"/>
          <w:sz w:val="19"/>
          <w:szCs w:val="19"/>
          <w:lang w:val="en-US"/>
        </w:rPr>
      </w:pPr>
      <w:r w:rsidRPr="00E904BD">
        <w:rPr>
          <w:rFonts w:ascii="Graphik Regular" w:eastAsia="Graphik Regular" w:hAnsi="Graphik Regular" w:cs="Graphik Medium"/>
          <w:b/>
          <w:bCs/>
          <w:color w:val="595957"/>
          <w:sz w:val="19"/>
          <w:szCs w:val="19"/>
          <w:lang w:val="en-US"/>
        </w:rPr>
        <w:t xml:space="preserve">Passenger vehicles with electric motor </w:t>
      </w:r>
      <w:r w:rsidRPr="00E904BD">
        <w:rPr>
          <w:rFonts w:ascii="Graphik Regular" w:eastAsia="Graphik Regular" w:hAnsi="Graphik Regular" w:cs="Graphik Medium"/>
          <w:color w:val="595957"/>
          <w:sz w:val="19"/>
          <w:szCs w:val="19"/>
          <w:lang w:val="en-US"/>
        </w:rPr>
        <w:t>(until August 31, 2023)</w:t>
      </w:r>
      <w:r w:rsidRPr="00E904BD">
        <w:rPr>
          <w:rFonts w:ascii="Graphik Regular" w:eastAsia="Calibri" w:hAnsi="Graphik Regular" w:cs="Graphik Medium"/>
          <w:color w:val="595957"/>
          <w:sz w:val="19"/>
          <w:szCs w:val="19"/>
          <w:vertAlign w:val="superscript"/>
          <w:lang w:val="en-US"/>
        </w:rPr>
        <w:footnoteReference w:id="5"/>
      </w:r>
      <w:r w:rsidRPr="00E904BD">
        <w:rPr>
          <w:rFonts w:ascii="Graphik Regular" w:eastAsia="Graphik Regular" w:hAnsi="Graphik Regular" w:cs="Graphik Medium"/>
          <w:color w:val="595957"/>
          <w:sz w:val="19"/>
          <w:szCs w:val="19"/>
          <w:lang w:val="en-US"/>
        </w:rPr>
        <w:t>.</w:t>
      </w:r>
    </w:p>
    <w:p w14:paraId="2F060F9F" w14:textId="77777777" w:rsidR="00E904BD" w:rsidRPr="00E904BD" w:rsidRDefault="00E904BD" w:rsidP="00E904BD">
      <w:pPr>
        <w:numPr>
          <w:ilvl w:val="0"/>
          <w:numId w:val="7"/>
        </w:numPr>
        <w:spacing w:before="120" w:after="240" w:line="360" w:lineRule="auto"/>
        <w:ind w:left="567" w:hanging="397"/>
        <w:contextualSpacing/>
        <w:jc w:val="both"/>
        <w:rPr>
          <w:rFonts w:ascii="Graphik Regular" w:eastAsia="Calibri" w:hAnsi="Graphik Regular" w:cs="Graphik Medium"/>
          <w:color w:val="595957"/>
          <w:sz w:val="19"/>
          <w:szCs w:val="19"/>
          <w:lang w:val="en-US"/>
        </w:rPr>
      </w:pPr>
      <w:r w:rsidRPr="00E904BD">
        <w:rPr>
          <w:rFonts w:ascii="Graphik Regular" w:eastAsia="Graphik Regular" w:hAnsi="Graphik Regular" w:cs="Graphik Medium"/>
          <w:color w:val="595957"/>
          <w:sz w:val="19"/>
          <w:szCs w:val="19"/>
          <w:lang w:val="en-US"/>
        </w:rPr>
        <w:t>Intangible assets as defined by the Executive Power.</w:t>
      </w:r>
    </w:p>
    <w:p w14:paraId="169208ED" w14:textId="77777777" w:rsidR="00E904BD" w:rsidRPr="00E904BD" w:rsidRDefault="00E904BD" w:rsidP="00E904BD">
      <w:pPr>
        <w:shd w:val="clear" w:color="auto" w:fill="FFFFFF"/>
        <w:spacing w:after="260" w:line="360" w:lineRule="auto"/>
        <w:jc w:val="both"/>
        <w:textAlignment w:val="baseline"/>
        <w:rPr>
          <w:rFonts w:ascii="Graphik Regular" w:eastAsia="Calibri" w:hAnsi="Graphik Regular" w:cs="Times New Roman"/>
          <w:b/>
          <w:bCs/>
          <w:color w:val="595957"/>
          <w:sz w:val="19"/>
          <w:lang w:val="en-US"/>
        </w:rPr>
      </w:pPr>
      <w:r w:rsidRPr="00E904BD">
        <w:rPr>
          <w:rFonts w:ascii="Graphik Regular" w:eastAsia="Graphik Regular" w:hAnsi="Graphik Regular" w:cs="Times New Roman"/>
          <w:b/>
          <w:bCs/>
          <w:color w:val="595957"/>
          <w:sz w:val="19"/>
          <w:szCs w:val="19"/>
          <w:lang w:val="en-US"/>
        </w:rPr>
        <w:t>Investment Term</w:t>
      </w:r>
    </w:p>
    <w:p w14:paraId="7B6D2E7B" w14:textId="77777777" w:rsidR="00E904BD" w:rsidRPr="00E904BD" w:rsidRDefault="00E904BD" w:rsidP="00E904BD">
      <w:pPr>
        <w:numPr>
          <w:ilvl w:val="2"/>
          <w:numId w:val="12"/>
        </w:numPr>
        <w:autoSpaceDE w:val="0"/>
        <w:autoSpaceDN w:val="0"/>
        <w:adjustRightInd w:val="0"/>
        <w:spacing w:after="0" w:line="240" w:lineRule="auto"/>
        <w:ind w:left="426" w:hanging="288"/>
        <w:contextualSpacing/>
        <w:jc w:val="both"/>
        <w:rPr>
          <w:rFonts w:ascii="Graphik Regular" w:eastAsia="Calibri" w:hAnsi="Graphik Regular" w:cs="Graphik Medium"/>
          <w:color w:val="595957"/>
          <w:sz w:val="19"/>
          <w:szCs w:val="19"/>
          <w:lang w:val="en-US" w:eastAsia="es-UY"/>
        </w:rPr>
      </w:pPr>
      <w:r w:rsidRPr="00E904BD">
        <w:rPr>
          <w:rFonts w:ascii="Graphik Regular" w:eastAsia="Graphik Regular" w:hAnsi="Graphik Regular" w:cs="Graphik Medium"/>
          <w:color w:val="595957"/>
          <w:sz w:val="19"/>
          <w:szCs w:val="19"/>
          <w:lang w:val="en-US" w:eastAsia="es-UY"/>
        </w:rPr>
        <w:t>The eligible investment may be made up to six months prior to filing the application and within the following ten years.</w:t>
      </w:r>
    </w:p>
    <w:p w14:paraId="269D2257" w14:textId="77777777" w:rsidR="00E904BD" w:rsidRPr="00E904BD" w:rsidRDefault="00E904BD" w:rsidP="00E904BD">
      <w:pPr>
        <w:spacing w:after="260" w:line="276" w:lineRule="auto"/>
        <w:contextualSpacing/>
        <w:jc w:val="both"/>
        <w:rPr>
          <w:rFonts w:ascii="Graphik Regular" w:eastAsia="Calibri" w:hAnsi="Graphik Regular" w:cs="Graphik Medium"/>
          <w:sz w:val="19"/>
          <w:szCs w:val="19"/>
          <w:u w:val="single"/>
          <w:lang w:val="en-US"/>
        </w:rPr>
      </w:pPr>
    </w:p>
    <w:p w14:paraId="753B2E9B" w14:textId="77777777" w:rsidR="00E904BD" w:rsidRPr="00E904BD" w:rsidRDefault="00E904BD" w:rsidP="00E904BD">
      <w:pPr>
        <w:shd w:val="clear" w:color="auto" w:fill="FFFFFF"/>
        <w:spacing w:after="260" w:line="360" w:lineRule="auto"/>
        <w:jc w:val="both"/>
        <w:textAlignment w:val="baseline"/>
        <w:rPr>
          <w:rFonts w:ascii="Graphik Regular" w:eastAsia="Calibri" w:hAnsi="Graphik Regular" w:cs="Times New Roman"/>
          <w:b/>
          <w:bCs/>
          <w:color w:val="595957"/>
          <w:sz w:val="19"/>
          <w:lang w:val="en-US"/>
        </w:rPr>
      </w:pPr>
      <w:r w:rsidRPr="00E904BD">
        <w:rPr>
          <w:rFonts w:ascii="Graphik Regular" w:eastAsia="Graphik Regular" w:hAnsi="Graphik Regular" w:cs="Times New Roman"/>
          <w:b/>
          <w:bCs/>
          <w:color w:val="595957"/>
          <w:sz w:val="19"/>
          <w:szCs w:val="19"/>
          <w:lang w:val="en-US"/>
        </w:rPr>
        <w:t>Approval Term</w:t>
      </w:r>
    </w:p>
    <w:p w14:paraId="7A77E9B0" w14:textId="77777777" w:rsidR="00E904BD" w:rsidRPr="00E904BD" w:rsidRDefault="00E904BD" w:rsidP="00E904BD">
      <w:pPr>
        <w:numPr>
          <w:ilvl w:val="2"/>
          <w:numId w:val="12"/>
        </w:numPr>
        <w:autoSpaceDE w:val="0"/>
        <w:autoSpaceDN w:val="0"/>
        <w:adjustRightInd w:val="0"/>
        <w:spacing w:after="0" w:line="240" w:lineRule="auto"/>
        <w:ind w:left="426" w:hanging="288"/>
        <w:contextualSpacing/>
        <w:jc w:val="both"/>
        <w:rPr>
          <w:rFonts w:ascii="Graphik Regular" w:eastAsia="Calibri" w:hAnsi="Graphik Regular" w:cs="Graphik Medium"/>
          <w:color w:val="595957"/>
          <w:sz w:val="19"/>
          <w:szCs w:val="19"/>
          <w:lang w:val="en-US" w:eastAsia="es-UY"/>
        </w:rPr>
      </w:pPr>
      <w:r w:rsidRPr="00E904BD">
        <w:rPr>
          <w:rFonts w:ascii="Graphik Regular" w:eastAsia="Graphik Regular" w:hAnsi="Graphik Regular" w:cs="Graphik Medium"/>
          <w:color w:val="595957"/>
          <w:sz w:val="19"/>
          <w:szCs w:val="19"/>
          <w:lang w:val="en-US" w:eastAsia="es-UY"/>
        </w:rPr>
        <w:lastRenderedPageBreak/>
        <w:t>COMAP has 90 working days to make the recommendation to the Executive Power. If upon expiration of this term, COMAP has not issued a decision, it will be deemed as an implied recommendation to the Executive Power.</w:t>
      </w:r>
    </w:p>
    <w:p w14:paraId="654D0F07" w14:textId="77777777" w:rsidR="00E904BD" w:rsidRPr="00E904BD" w:rsidRDefault="00E904BD" w:rsidP="00E904BD">
      <w:pPr>
        <w:keepNext/>
        <w:keepLines/>
        <w:numPr>
          <w:ilvl w:val="1"/>
          <w:numId w:val="0"/>
        </w:numPr>
        <w:spacing w:before="520" w:after="360" w:line="240" w:lineRule="auto"/>
        <w:ind w:left="567" w:hanging="567"/>
        <w:contextualSpacing/>
        <w:outlineLvl w:val="1"/>
        <w:rPr>
          <w:rFonts w:ascii="Graphik Semibold" w:eastAsia="Times New Roman" w:hAnsi="Graphik Semibold" w:cs="Times New Roman (Títulos en alf"/>
          <w:caps/>
          <w:color w:val="005496"/>
          <w:spacing w:val="28"/>
          <w:kern w:val="28"/>
          <w:sz w:val="28"/>
          <w:szCs w:val="26"/>
          <w:lang w:val="en-US"/>
        </w:rPr>
      </w:pPr>
      <w:bookmarkStart w:id="3" w:name="_Toc98255492"/>
      <w:bookmarkStart w:id="4" w:name="_Toc101113576"/>
      <w:r w:rsidRPr="00E904BD">
        <w:rPr>
          <w:rFonts w:ascii="Graphik Semibold" w:eastAsia="Graphik Semibold" w:hAnsi="Graphik Semibold" w:cs="Times New Roman (Títulos en alf"/>
          <w:b/>
          <w:bCs/>
          <w:caps/>
          <w:color w:val="005496"/>
          <w:spacing w:val="28"/>
          <w:kern w:val="28"/>
          <w:sz w:val="28"/>
          <w:szCs w:val="28"/>
          <w:lang w:val="en-US"/>
        </w:rPr>
        <w:t>INDUSTRIAL PARKS</w:t>
      </w:r>
      <w:bookmarkEnd w:id="3"/>
      <w:bookmarkEnd w:id="4"/>
    </w:p>
    <w:p w14:paraId="584676C1" w14:textId="77777777" w:rsidR="00E904BD" w:rsidRPr="00E904BD" w:rsidRDefault="00E904BD" w:rsidP="00E904BD">
      <w:pPr>
        <w:spacing w:after="260" w:line="360" w:lineRule="auto"/>
        <w:jc w:val="both"/>
        <w:rPr>
          <w:rFonts w:ascii="Graphik Regular" w:eastAsia="Calibri" w:hAnsi="Graphik Regular" w:cs="Graphik Medium"/>
          <w:color w:val="595957"/>
          <w:sz w:val="19"/>
          <w:szCs w:val="19"/>
          <w:lang w:val="en-US"/>
        </w:rPr>
      </w:pPr>
      <w:r w:rsidRPr="00E904BD">
        <w:rPr>
          <w:rFonts w:ascii="Graphik Regular" w:eastAsia="Graphik Regular" w:hAnsi="Graphik Regular" w:cs="Graphik Medium"/>
          <w:color w:val="595957"/>
          <w:sz w:val="19"/>
          <w:szCs w:val="19"/>
          <w:lang w:val="en-US"/>
        </w:rPr>
        <w:t>There are currently eight industrial parks in operation in Uruguay</w:t>
      </w:r>
      <w:r w:rsidRPr="00E904BD">
        <w:rPr>
          <w:rFonts w:ascii="Graphik Regular" w:eastAsia="Calibri" w:hAnsi="Graphik Regular" w:cs="Graphik Medium"/>
          <w:color w:val="595957"/>
          <w:sz w:val="19"/>
          <w:szCs w:val="19"/>
          <w:vertAlign w:val="superscript"/>
          <w:lang w:val="en-US"/>
        </w:rPr>
        <w:footnoteReference w:id="6"/>
      </w:r>
      <w:r w:rsidRPr="00E904BD">
        <w:rPr>
          <w:rFonts w:ascii="Graphik Regular" w:eastAsia="Graphik Regular" w:hAnsi="Graphik Regular" w:cs="Graphik Medium"/>
          <w:color w:val="595957"/>
          <w:sz w:val="19"/>
          <w:szCs w:val="19"/>
          <w:lang w:val="en-US"/>
        </w:rPr>
        <w:t>:</w:t>
      </w:r>
    </w:p>
    <w:p w14:paraId="2246A394" w14:textId="77777777" w:rsidR="00E904BD" w:rsidRPr="00E904BD" w:rsidRDefault="00E904BD" w:rsidP="00E904BD">
      <w:pPr>
        <w:numPr>
          <w:ilvl w:val="0"/>
          <w:numId w:val="13"/>
        </w:numPr>
        <w:spacing w:after="0" w:line="276" w:lineRule="auto"/>
        <w:jc w:val="both"/>
        <w:rPr>
          <w:rFonts w:ascii="Graphik Regular" w:eastAsia="Calibri" w:hAnsi="Graphik Regular" w:cs="Graphik Medium"/>
          <w:color w:val="595957"/>
          <w:sz w:val="19"/>
          <w:szCs w:val="19"/>
          <w:lang w:val="en-US"/>
        </w:rPr>
      </w:pPr>
      <w:r w:rsidRPr="00E904BD">
        <w:rPr>
          <w:rFonts w:ascii="Graphik Regular" w:eastAsia="Graphik Regular" w:hAnsi="Graphik Regular" w:cs="Graphik Medium"/>
          <w:color w:val="595957"/>
          <w:sz w:val="19"/>
          <w:szCs w:val="19"/>
          <w:lang w:val="en-US"/>
        </w:rPr>
        <w:t xml:space="preserve">Parque Industrial de Juan </w:t>
      </w:r>
      <w:proofErr w:type="spellStart"/>
      <w:r w:rsidRPr="00E904BD">
        <w:rPr>
          <w:rFonts w:ascii="Graphik Regular" w:eastAsia="Graphik Regular" w:hAnsi="Graphik Regular" w:cs="Graphik Medium"/>
          <w:color w:val="595957"/>
          <w:sz w:val="19"/>
          <w:szCs w:val="19"/>
          <w:lang w:val="en-US"/>
        </w:rPr>
        <w:t>Lacaze</w:t>
      </w:r>
      <w:proofErr w:type="spellEnd"/>
    </w:p>
    <w:p w14:paraId="0AFE39F6" w14:textId="77777777" w:rsidR="00E904BD" w:rsidRPr="00E904BD" w:rsidRDefault="00E904BD" w:rsidP="00E904BD">
      <w:pPr>
        <w:numPr>
          <w:ilvl w:val="0"/>
          <w:numId w:val="13"/>
        </w:numPr>
        <w:spacing w:after="0" w:line="276" w:lineRule="auto"/>
        <w:jc w:val="both"/>
        <w:rPr>
          <w:rFonts w:ascii="Graphik Regular" w:eastAsia="Calibri" w:hAnsi="Graphik Regular" w:cs="Graphik Medium"/>
          <w:color w:val="595957"/>
          <w:sz w:val="19"/>
          <w:szCs w:val="19"/>
          <w:lang w:val="en-US"/>
        </w:rPr>
      </w:pPr>
      <w:r w:rsidRPr="00E904BD">
        <w:rPr>
          <w:rFonts w:ascii="Graphik Regular" w:eastAsia="Graphik Regular" w:hAnsi="Graphik Regular" w:cs="Graphik Medium"/>
          <w:color w:val="595957"/>
          <w:sz w:val="19"/>
          <w:szCs w:val="19"/>
          <w:lang w:val="en-US"/>
        </w:rPr>
        <w:t>Parque Industrial Paysandú</w:t>
      </w:r>
    </w:p>
    <w:p w14:paraId="560259FF" w14:textId="77777777" w:rsidR="00E904BD" w:rsidRPr="00E904BD" w:rsidRDefault="00E904BD" w:rsidP="00E904BD">
      <w:pPr>
        <w:numPr>
          <w:ilvl w:val="0"/>
          <w:numId w:val="13"/>
        </w:numPr>
        <w:spacing w:after="0" w:line="276" w:lineRule="auto"/>
        <w:jc w:val="both"/>
        <w:rPr>
          <w:rFonts w:ascii="Graphik Regular" w:eastAsia="Calibri" w:hAnsi="Graphik Regular" w:cs="Graphik Medium"/>
          <w:color w:val="595957"/>
          <w:sz w:val="19"/>
          <w:szCs w:val="19"/>
          <w:lang w:val="en-US"/>
        </w:rPr>
      </w:pPr>
      <w:r w:rsidRPr="00E904BD">
        <w:rPr>
          <w:rFonts w:ascii="Graphik Regular" w:eastAsia="Graphik Regular" w:hAnsi="Graphik Regular" w:cs="Graphik Medium"/>
          <w:color w:val="595957"/>
          <w:sz w:val="19"/>
          <w:szCs w:val="19"/>
          <w:lang w:val="en-US"/>
        </w:rPr>
        <w:t xml:space="preserve">Parque </w:t>
      </w:r>
      <w:proofErr w:type="spellStart"/>
      <w:r w:rsidRPr="00E904BD">
        <w:rPr>
          <w:rFonts w:ascii="Graphik Regular" w:eastAsia="Graphik Regular" w:hAnsi="Graphik Regular" w:cs="Graphik Medium"/>
          <w:color w:val="595957"/>
          <w:sz w:val="19"/>
          <w:szCs w:val="19"/>
          <w:lang w:val="en-US"/>
        </w:rPr>
        <w:t>Productivo</w:t>
      </w:r>
      <w:proofErr w:type="spellEnd"/>
      <w:r w:rsidRPr="00E904BD">
        <w:rPr>
          <w:rFonts w:ascii="Graphik Regular" w:eastAsia="Graphik Regular" w:hAnsi="Graphik Regular" w:cs="Graphik Medium"/>
          <w:color w:val="595957"/>
          <w:sz w:val="19"/>
          <w:szCs w:val="19"/>
          <w:lang w:val="en-US"/>
        </w:rPr>
        <w:t xml:space="preserve"> Uruguay</w:t>
      </w:r>
    </w:p>
    <w:p w14:paraId="33437E5A" w14:textId="77777777" w:rsidR="00E904BD" w:rsidRPr="00E904BD" w:rsidRDefault="00E904BD" w:rsidP="00E904BD">
      <w:pPr>
        <w:numPr>
          <w:ilvl w:val="0"/>
          <w:numId w:val="13"/>
        </w:numPr>
        <w:spacing w:after="0" w:line="276" w:lineRule="auto"/>
        <w:jc w:val="both"/>
        <w:rPr>
          <w:rFonts w:ascii="Graphik Regular" w:eastAsia="Calibri" w:hAnsi="Graphik Regular" w:cs="Graphik Medium"/>
          <w:color w:val="595957"/>
          <w:sz w:val="19"/>
          <w:szCs w:val="19"/>
          <w:lang w:val="en-US"/>
        </w:rPr>
      </w:pPr>
      <w:r w:rsidRPr="00E904BD">
        <w:rPr>
          <w:rFonts w:ascii="Graphik Regular" w:eastAsia="Graphik Regular" w:hAnsi="Graphik Regular" w:cs="Graphik Medium"/>
          <w:color w:val="595957"/>
          <w:sz w:val="19"/>
          <w:szCs w:val="19"/>
          <w:lang w:val="en-US"/>
        </w:rPr>
        <w:t xml:space="preserve">Parque </w:t>
      </w:r>
      <w:proofErr w:type="spellStart"/>
      <w:r w:rsidRPr="00E904BD">
        <w:rPr>
          <w:rFonts w:ascii="Graphik Regular" w:eastAsia="Graphik Regular" w:hAnsi="Graphik Regular" w:cs="Graphik Medium"/>
          <w:color w:val="595957"/>
          <w:sz w:val="19"/>
          <w:szCs w:val="19"/>
          <w:lang w:val="en-US"/>
        </w:rPr>
        <w:t>Tecnológico</w:t>
      </w:r>
      <w:proofErr w:type="spellEnd"/>
      <w:r w:rsidRPr="00E904BD">
        <w:rPr>
          <w:rFonts w:ascii="Graphik Regular" w:eastAsia="Graphik Regular" w:hAnsi="Graphik Regular" w:cs="Graphik Medium"/>
          <w:color w:val="595957"/>
          <w:sz w:val="19"/>
          <w:szCs w:val="19"/>
          <w:lang w:val="en-US"/>
        </w:rPr>
        <w:t xml:space="preserve"> Industrial del Cerro</w:t>
      </w:r>
    </w:p>
    <w:p w14:paraId="3F53200E" w14:textId="77777777" w:rsidR="00E904BD" w:rsidRPr="00E904BD" w:rsidRDefault="00E904BD" w:rsidP="00E904BD">
      <w:pPr>
        <w:numPr>
          <w:ilvl w:val="0"/>
          <w:numId w:val="13"/>
        </w:numPr>
        <w:spacing w:after="0" w:line="276" w:lineRule="auto"/>
        <w:jc w:val="both"/>
        <w:rPr>
          <w:rFonts w:ascii="Graphik Regular" w:eastAsia="Calibri" w:hAnsi="Graphik Regular" w:cs="Graphik Medium"/>
          <w:color w:val="595957"/>
          <w:sz w:val="19"/>
          <w:szCs w:val="19"/>
        </w:rPr>
      </w:pPr>
      <w:r w:rsidRPr="00E904BD">
        <w:rPr>
          <w:rFonts w:ascii="Graphik Regular" w:eastAsia="Graphik Regular" w:hAnsi="Graphik Regular" w:cs="Graphik Medium"/>
          <w:color w:val="595957"/>
          <w:sz w:val="19"/>
          <w:szCs w:val="19"/>
        </w:rPr>
        <w:t>Plaza Industrial S.A. “Zona Este”</w:t>
      </w:r>
    </w:p>
    <w:p w14:paraId="73019F5C" w14:textId="77777777" w:rsidR="00E904BD" w:rsidRPr="00E904BD" w:rsidRDefault="00E904BD" w:rsidP="00E904BD">
      <w:pPr>
        <w:numPr>
          <w:ilvl w:val="0"/>
          <w:numId w:val="13"/>
        </w:numPr>
        <w:spacing w:after="0" w:line="276" w:lineRule="auto"/>
        <w:jc w:val="both"/>
        <w:rPr>
          <w:rFonts w:ascii="Graphik Regular" w:eastAsia="Calibri" w:hAnsi="Graphik Regular" w:cs="Graphik Medium"/>
          <w:color w:val="595957"/>
          <w:sz w:val="19"/>
          <w:szCs w:val="19"/>
          <w:lang w:val="en-US"/>
        </w:rPr>
      </w:pPr>
      <w:r w:rsidRPr="00E904BD">
        <w:rPr>
          <w:rFonts w:ascii="Graphik Regular" w:eastAsia="Graphik Regular" w:hAnsi="Graphik Regular" w:cs="Graphik Medium"/>
          <w:color w:val="595957"/>
          <w:sz w:val="19"/>
          <w:szCs w:val="19"/>
          <w:lang w:val="en-US"/>
        </w:rPr>
        <w:t>Parque Industrial de Pando</w:t>
      </w:r>
    </w:p>
    <w:p w14:paraId="204B8A4E" w14:textId="77777777" w:rsidR="00E904BD" w:rsidRPr="00E904BD" w:rsidRDefault="00E904BD" w:rsidP="00E904BD">
      <w:pPr>
        <w:numPr>
          <w:ilvl w:val="0"/>
          <w:numId w:val="13"/>
        </w:numPr>
        <w:spacing w:after="0" w:line="276" w:lineRule="auto"/>
        <w:jc w:val="both"/>
        <w:rPr>
          <w:rFonts w:ascii="Graphik Regular" w:eastAsia="Calibri" w:hAnsi="Graphik Regular" w:cs="Graphik Medium"/>
          <w:color w:val="595957"/>
          <w:sz w:val="19"/>
          <w:szCs w:val="19"/>
        </w:rPr>
      </w:pPr>
      <w:r w:rsidRPr="00E904BD">
        <w:rPr>
          <w:rFonts w:ascii="Graphik Regular" w:eastAsia="Graphik Regular" w:hAnsi="Graphik Regular" w:cs="Graphik Medium"/>
          <w:color w:val="595957"/>
          <w:sz w:val="19"/>
          <w:szCs w:val="19"/>
        </w:rPr>
        <w:t>Parque Industrial y Logístico Ruta 5</w:t>
      </w:r>
    </w:p>
    <w:p w14:paraId="0D058BCF" w14:textId="77777777" w:rsidR="00E904BD" w:rsidRPr="00E904BD" w:rsidRDefault="00E904BD" w:rsidP="00E904BD">
      <w:pPr>
        <w:numPr>
          <w:ilvl w:val="0"/>
          <w:numId w:val="13"/>
        </w:numPr>
        <w:spacing w:after="0" w:line="276" w:lineRule="auto"/>
        <w:jc w:val="both"/>
        <w:rPr>
          <w:rFonts w:ascii="Graphik Regular" w:eastAsia="Calibri" w:hAnsi="Graphik Regular" w:cs="Graphik Medium"/>
          <w:color w:val="595957"/>
          <w:sz w:val="19"/>
          <w:szCs w:val="19"/>
          <w:lang w:val="en-US"/>
        </w:rPr>
      </w:pPr>
      <w:r w:rsidRPr="00E904BD">
        <w:rPr>
          <w:rFonts w:ascii="Graphik Regular" w:eastAsia="Graphik Regular" w:hAnsi="Graphik Regular" w:cs="Graphik Medium"/>
          <w:color w:val="595957"/>
          <w:sz w:val="19"/>
          <w:szCs w:val="19"/>
          <w:lang w:val="en-US"/>
        </w:rPr>
        <w:t xml:space="preserve">Parque </w:t>
      </w:r>
      <w:proofErr w:type="spellStart"/>
      <w:r w:rsidRPr="00E904BD">
        <w:rPr>
          <w:rFonts w:ascii="Graphik Regular" w:eastAsia="Graphik Regular" w:hAnsi="Graphik Regular" w:cs="Graphik Medium"/>
          <w:color w:val="595957"/>
          <w:sz w:val="19"/>
          <w:szCs w:val="19"/>
          <w:lang w:val="en-US"/>
        </w:rPr>
        <w:t>Científico</w:t>
      </w:r>
      <w:proofErr w:type="spellEnd"/>
      <w:r w:rsidRPr="00E904BD">
        <w:rPr>
          <w:rFonts w:ascii="Graphik Regular" w:eastAsia="Graphik Regular" w:hAnsi="Graphik Regular" w:cs="Graphik Medium"/>
          <w:color w:val="595957"/>
          <w:sz w:val="19"/>
          <w:szCs w:val="19"/>
          <w:lang w:val="en-US"/>
        </w:rPr>
        <w:t xml:space="preserve"> </w:t>
      </w:r>
      <w:proofErr w:type="spellStart"/>
      <w:r w:rsidRPr="00E904BD">
        <w:rPr>
          <w:rFonts w:ascii="Graphik Regular" w:eastAsia="Graphik Regular" w:hAnsi="Graphik Regular" w:cs="Graphik Medium"/>
          <w:color w:val="595957"/>
          <w:sz w:val="19"/>
          <w:szCs w:val="19"/>
          <w:lang w:val="en-US"/>
        </w:rPr>
        <w:t>Tecnológico</w:t>
      </w:r>
      <w:proofErr w:type="spellEnd"/>
      <w:r w:rsidRPr="00E904BD">
        <w:rPr>
          <w:rFonts w:ascii="Graphik Regular" w:eastAsia="Graphik Regular" w:hAnsi="Graphik Regular" w:cs="Graphik Medium"/>
          <w:color w:val="595957"/>
          <w:sz w:val="19"/>
          <w:szCs w:val="19"/>
          <w:lang w:val="en-US"/>
        </w:rPr>
        <w:t xml:space="preserve"> de Pando</w:t>
      </w:r>
    </w:p>
    <w:p w14:paraId="28D143E4" w14:textId="77777777" w:rsidR="00E904BD" w:rsidRPr="00E904BD" w:rsidRDefault="00E904BD" w:rsidP="00E904BD">
      <w:pPr>
        <w:spacing w:after="260" w:line="276" w:lineRule="auto"/>
        <w:jc w:val="both"/>
        <w:rPr>
          <w:rFonts w:ascii="Graphik Regular" w:eastAsia="Calibri" w:hAnsi="Graphik Regular" w:cs="Graphik Medium"/>
          <w:color w:val="595957"/>
          <w:sz w:val="19"/>
          <w:szCs w:val="19"/>
          <w:lang w:val="en-US"/>
        </w:rPr>
      </w:pPr>
    </w:p>
    <w:p w14:paraId="7F264470" w14:textId="77777777" w:rsidR="00E904BD" w:rsidRPr="00E904BD" w:rsidRDefault="00E904BD" w:rsidP="00E904BD">
      <w:pPr>
        <w:shd w:val="clear" w:color="auto" w:fill="FFFFFF"/>
        <w:spacing w:after="260" w:line="390" w:lineRule="atLeast"/>
        <w:contextualSpacing/>
        <w:jc w:val="both"/>
        <w:textAlignment w:val="baseline"/>
        <w:rPr>
          <w:rFonts w:ascii="Graphik Regular" w:eastAsia="Calibri" w:hAnsi="Graphik Regular" w:cs="Graphik Medium"/>
          <w:color w:val="595957"/>
          <w:sz w:val="19"/>
          <w:szCs w:val="19"/>
          <w:lang w:val="en-US"/>
        </w:rPr>
      </w:pPr>
      <w:r w:rsidRPr="00E904BD">
        <w:rPr>
          <w:rFonts w:ascii="Graphik Regular" w:eastAsia="Graphik Regular" w:hAnsi="Graphik Regular" w:cs="Graphik Medium"/>
          <w:color w:val="595957"/>
          <w:sz w:val="19"/>
          <w:szCs w:val="19"/>
          <w:lang w:val="en-US"/>
        </w:rPr>
        <w:t xml:space="preserve">There is an </w:t>
      </w:r>
      <w:r w:rsidRPr="00E904BD">
        <w:rPr>
          <w:rFonts w:ascii="Graphik Regular" w:eastAsia="Graphik Regular" w:hAnsi="Graphik Regular" w:cs="Graphik Medium"/>
          <w:b/>
          <w:bCs/>
          <w:color w:val="595957"/>
          <w:sz w:val="19"/>
          <w:szCs w:val="19"/>
          <w:lang w:val="en-US"/>
        </w:rPr>
        <w:t>additional IRAE exemption benefit of 15%</w:t>
      </w:r>
      <w:r w:rsidRPr="00E904BD">
        <w:rPr>
          <w:rFonts w:ascii="Graphik Regular" w:eastAsia="Graphik Regular" w:hAnsi="Graphik Regular" w:cs="Graphik Medium"/>
          <w:color w:val="595957"/>
          <w:sz w:val="19"/>
          <w:szCs w:val="19"/>
          <w:lang w:val="en-US"/>
        </w:rPr>
        <w:t xml:space="preserve"> (in exemption and term) over the percentage obtained by COMAP for those industrial park users that carry out any of the following activities:</w:t>
      </w:r>
    </w:p>
    <w:p w14:paraId="7A1C68E1" w14:textId="77777777" w:rsidR="00E904BD" w:rsidRPr="00E904BD" w:rsidRDefault="00E904BD" w:rsidP="00E904BD">
      <w:pPr>
        <w:spacing w:after="260" w:line="360" w:lineRule="auto"/>
        <w:ind w:left="284"/>
        <w:contextualSpacing/>
        <w:jc w:val="both"/>
        <w:rPr>
          <w:rFonts w:ascii="Graphik Regular" w:eastAsia="Calibri" w:hAnsi="Graphik Regular" w:cs="Graphik Medium"/>
          <w:color w:val="595957"/>
          <w:sz w:val="19"/>
          <w:szCs w:val="19"/>
          <w:lang w:val="en-US"/>
        </w:rPr>
      </w:pPr>
      <w:r w:rsidRPr="00E904BD">
        <w:rPr>
          <w:rFonts w:ascii="Graphik Regular" w:eastAsia="Calibri" w:hAnsi="Graphik Regular" w:cs="Graphik Medium"/>
          <w:noProof/>
          <w:color w:val="595957"/>
          <w:sz w:val="19"/>
          <w:szCs w:val="19"/>
          <w:lang w:val="en-US"/>
        </w:rPr>
        <w:drawing>
          <wp:anchor distT="0" distB="0" distL="114300" distR="114300" simplePos="0" relativeHeight="251659264" behindDoc="0" locked="0" layoutInCell="1" allowOverlap="1" wp14:anchorId="0B93EB7D" wp14:editId="44BDE1F7">
            <wp:simplePos x="0" y="0"/>
            <wp:positionH relativeFrom="margin">
              <wp:posOffset>3620770</wp:posOffset>
            </wp:positionH>
            <wp:positionV relativeFrom="paragraph">
              <wp:posOffset>914400</wp:posOffset>
            </wp:positionV>
            <wp:extent cx="2455545" cy="1981200"/>
            <wp:effectExtent l="0" t="0" r="1905" b="0"/>
            <wp:wrapSquare wrapText="bothSides"/>
            <wp:docPr id="9" name="Imagen 9"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descr="Diagrama&#10;&#10;Descripción generada automáticament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55545" cy="1981200"/>
                    </a:xfrm>
                    <a:prstGeom prst="rect">
                      <a:avLst/>
                    </a:prstGeom>
                  </pic:spPr>
                </pic:pic>
              </a:graphicData>
            </a:graphic>
            <wp14:sizeRelH relativeFrom="page">
              <wp14:pctWidth>0</wp14:pctWidth>
            </wp14:sizeRelH>
            <wp14:sizeRelV relativeFrom="page">
              <wp14:pctHeight>0</wp14:pctHeight>
            </wp14:sizeRelV>
          </wp:anchor>
        </w:drawing>
      </w:r>
      <w:r w:rsidRPr="00E904BD">
        <w:rPr>
          <w:rFonts w:ascii="Graphik Regular" w:eastAsia="Calibri" w:hAnsi="Graphik Regular" w:cs="Graphik Medium"/>
          <w:noProof/>
          <w:color w:val="595957"/>
          <w:sz w:val="19"/>
          <w:szCs w:val="19"/>
          <w:lang w:val="en-US" w:eastAsia="es-UY"/>
        </w:rPr>
        <w:drawing>
          <wp:anchor distT="0" distB="0" distL="114300" distR="114300" simplePos="0" relativeHeight="251660288" behindDoc="0" locked="0" layoutInCell="1" allowOverlap="1" wp14:anchorId="4392AC7A" wp14:editId="6CEFA5CD">
            <wp:simplePos x="0" y="0"/>
            <wp:positionH relativeFrom="margin">
              <wp:posOffset>200025</wp:posOffset>
            </wp:positionH>
            <wp:positionV relativeFrom="paragraph">
              <wp:posOffset>296545</wp:posOffset>
            </wp:positionV>
            <wp:extent cx="2847975" cy="3159760"/>
            <wp:effectExtent l="0" t="0" r="9525" b="2540"/>
            <wp:wrapTopAndBottom/>
            <wp:docPr id="8" name="Imagen 8" descr="Map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Mapa&#10;&#10;Descripción generada automáticamente"/>
                    <pic:cNvPicPr/>
                  </pic:nvPicPr>
                  <pic:blipFill>
                    <a:blip r:embed="rId9">
                      <a:extLst>
                        <a:ext uri="{28A0092B-C50C-407E-A947-70E740481C1C}">
                          <a14:useLocalDpi xmlns:a14="http://schemas.microsoft.com/office/drawing/2010/main" val="0"/>
                        </a:ext>
                      </a:extLst>
                    </a:blip>
                    <a:stretch>
                      <a:fillRect/>
                    </a:stretch>
                  </pic:blipFill>
                  <pic:spPr>
                    <a:xfrm>
                      <a:off x="0" y="0"/>
                      <a:ext cx="2847975" cy="3159760"/>
                    </a:xfrm>
                    <a:prstGeom prst="rect">
                      <a:avLst/>
                    </a:prstGeom>
                  </pic:spPr>
                </pic:pic>
              </a:graphicData>
            </a:graphic>
            <wp14:sizeRelH relativeFrom="page">
              <wp14:pctWidth>0</wp14:pctWidth>
            </wp14:sizeRelH>
            <wp14:sizeRelV relativeFrom="page">
              <wp14:pctHeight>0</wp14:pctHeight>
            </wp14:sizeRelV>
          </wp:anchor>
        </w:drawing>
      </w:r>
    </w:p>
    <w:p w14:paraId="2EF08B08" w14:textId="77777777" w:rsidR="00E904BD" w:rsidRPr="00E904BD" w:rsidRDefault="00E904BD" w:rsidP="00E904BD">
      <w:pPr>
        <w:spacing w:after="0" w:line="360" w:lineRule="auto"/>
        <w:ind w:left="567"/>
        <w:jc w:val="both"/>
        <w:rPr>
          <w:rFonts w:ascii="Graphik Regular" w:eastAsia="Calibri" w:hAnsi="Graphik Regular" w:cs="Graphik Medium"/>
          <w:color w:val="595957"/>
          <w:sz w:val="19"/>
          <w:szCs w:val="19"/>
          <w:lang w:val="en-US"/>
        </w:rPr>
      </w:pPr>
    </w:p>
    <w:p w14:paraId="5D127F28" w14:textId="77777777" w:rsidR="00E904BD" w:rsidRPr="00E904BD" w:rsidRDefault="00E904BD" w:rsidP="00E904BD">
      <w:pPr>
        <w:numPr>
          <w:ilvl w:val="0"/>
          <w:numId w:val="14"/>
        </w:numPr>
        <w:spacing w:after="0" w:line="360" w:lineRule="auto"/>
        <w:ind w:left="567"/>
        <w:jc w:val="both"/>
        <w:rPr>
          <w:rFonts w:ascii="Graphik Regular" w:eastAsia="Calibri" w:hAnsi="Graphik Regular" w:cs="Graphik Medium"/>
          <w:color w:val="595957"/>
          <w:sz w:val="19"/>
          <w:szCs w:val="19"/>
          <w:lang w:val="en-US"/>
        </w:rPr>
      </w:pPr>
      <w:r w:rsidRPr="00E904BD">
        <w:rPr>
          <w:rFonts w:ascii="Graphik Regular" w:eastAsia="Graphik Regular" w:hAnsi="Graphik Regular" w:cs="Graphik Medium"/>
          <w:color w:val="595957"/>
          <w:sz w:val="19"/>
          <w:szCs w:val="19"/>
          <w:lang w:val="en-US"/>
        </w:rPr>
        <w:t xml:space="preserve">Industrial activities. </w:t>
      </w:r>
    </w:p>
    <w:p w14:paraId="29A505C9" w14:textId="77777777" w:rsidR="00E904BD" w:rsidRPr="00E904BD" w:rsidRDefault="00E904BD" w:rsidP="00E904BD">
      <w:pPr>
        <w:numPr>
          <w:ilvl w:val="0"/>
          <w:numId w:val="14"/>
        </w:numPr>
        <w:spacing w:after="0" w:line="360" w:lineRule="auto"/>
        <w:ind w:left="567"/>
        <w:jc w:val="both"/>
        <w:rPr>
          <w:rFonts w:ascii="Graphik Regular" w:eastAsia="Calibri" w:hAnsi="Graphik Regular" w:cs="Graphik Medium"/>
          <w:color w:val="595957"/>
          <w:sz w:val="19"/>
          <w:szCs w:val="19"/>
          <w:lang w:val="en-US"/>
        </w:rPr>
      </w:pPr>
      <w:r w:rsidRPr="00E904BD">
        <w:rPr>
          <w:rFonts w:ascii="Graphik Regular" w:eastAsia="Graphik Regular" w:hAnsi="Graphik Regular" w:cs="Graphik Medium"/>
          <w:color w:val="595957"/>
          <w:sz w:val="19"/>
          <w:szCs w:val="19"/>
          <w:lang w:val="en-US"/>
        </w:rPr>
        <w:lastRenderedPageBreak/>
        <w:t xml:space="preserve">Provision of services such as storage, conditioning, selection, classification, fractioning, assembling, disassembling, </w:t>
      </w:r>
      <w:proofErr w:type="gramStart"/>
      <w:r w:rsidRPr="00E904BD">
        <w:rPr>
          <w:rFonts w:ascii="Graphik Regular" w:eastAsia="Graphik Regular" w:hAnsi="Graphik Regular" w:cs="Graphik Medium"/>
          <w:color w:val="595957"/>
          <w:sz w:val="19"/>
          <w:szCs w:val="19"/>
          <w:lang w:val="en-US"/>
        </w:rPr>
        <w:t>handling</w:t>
      </w:r>
      <w:proofErr w:type="gramEnd"/>
      <w:r w:rsidRPr="00E904BD">
        <w:rPr>
          <w:rFonts w:ascii="Graphik Regular" w:eastAsia="Graphik Regular" w:hAnsi="Graphik Regular" w:cs="Graphik Medium"/>
          <w:color w:val="595957"/>
          <w:sz w:val="19"/>
          <w:szCs w:val="19"/>
          <w:lang w:val="en-US"/>
        </w:rPr>
        <w:t xml:space="preserve"> or mixing of merchandise or raw materials, related to the activities developed in the park. The term “related” shall be understood as that service belonging to the industrial value chain. </w:t>
      </w:r>
    </w:p>
    <w:p w14:paraId="3ADBCB35" w14:textId="77777777" w:rsidR="00E904BD" w:rsidRPr="00E904BD" w:rsidRDefault="00E904BD" w:rsidP="00E904BD">
      <w:pPr>
        <w:numPr>
          <w:ilvl w:val="0"/>
          <w:numId w:val="14"/>
        </w:numPr>
        <w:spacing w:after="0" w:line="360" w:lineRule="auto"/>
        <w:ind w:left="567"/>
        <w:jc w:val="both"/>
        <w:rPr>
          <w:rFonts w:ascii="Graphik Regular" w:eastAsia="Calibri" w:hAnsi="Graphik Regular" w:cs="Graphik Medium"/>
          <w:color w:val="595957"/>
          <w:sz w:val="19"/>
          <w:szCs w:val="19"/>
          <w:lang w:val="en-US"/>
        </w:rPr>
      </w:pPr>
      <w:r w:rsidRPr="00E904BD">
        <w:rPr>
          <w:rFonts w:ascii="Graphik Regular" w:eastAsia="Graphik Regular" w:hAnsi="Graphik Regular" w:cs="Graphik Medium"/>
          <w:color w:val="595957"/>
          <w:sz w:val="19"/>
          <w:szCs w:val="19"/>
          <w:lang w:val="en-US"/>
        </w:rPr>
        <w:t xml:space="preserve">Solar thermal and/or photovoltaic energy generation activities under the promotional measures of the Executive Power in force at the time of submitting the project, decrees, ministerial resolutions and/or contracts with the state-owned energy company UTE. </w:t>
      </w:r>
    </w:p>
    <w:p w14:paraId="1D0F8C45" w14:textId="77777777" w:rsidR="00E904BD" w:rsidRPr="00E904BD" w:rsidRDefault="00E904BD" w:rsidP="00E904BD">
      <w:pPr>
        <w:numPr>
          <w:ilvl w:val="0"/>
          <w:numId w:val="14"/>
        </w:numPr>
        <w:spacing w:after="0" w:line="360" w:lineRule="auto"/>
        <w:ind w:left="567"/>
        <w:jc w:val="both"/>
        <w:rPr>
          <w:rFonts w:ascii="Graphik Regular" w:eastAsia="Calibri" w:hAnsi="Graphik Regular" w:cs="Graphik Medium"/>
          <w:color w:val="595957"/>
          <w:sz w:val="19"/>
          <w:szCs w:val="19"/>
          <w:lang w:val="en-US"/>
        </w:rPr>
      </w:pPr>
      <w:r w:rsidRPr="00E904BD">
        <w:rPr>
          <w:rFonts w:ascii="Graphik Regular" w:eastAsia="Graphik Regular" w:hAnsi="Graphik Regular" w:cs="Graphik Medium"/>
          <w:color w:val="595957"/>
          <w:sz w:val="19"/>
          <w:szCs w:val="19"/>
          <w:lang w:val="en-US"/>
        </w:rPr>
        <w:t xml:space="preserve">Waste recovery and utilization activities. </w:t>
      </w:r>
    </w:p>
    <w:p w14:paraId="7884E8A3" w14:textId="77777777" w:rsidR="00E904BD" w:rsidRPr="00E904BD" w:rsidRDefault="00E904BD" w:rsidP="00E904BD">
      <w:pPr>
        <w:numPr>
          <w:ilvl w:val="0"/>
          <w:numId w:val="14"/>
        </w:numPr>
        <w:spacing w:after="0" w:line="360" w:lineRule="auto"/>
        <w:ind w:left="567"/>
        <w:jc w:val="both"/>
        <w:rPr>
          <w:rFonts w:ascii="Graphik Regular" w:eastAsia="Calibri" w:hAnsi="Graphik Regular" w:cs="Graphik Medium"/>
          <w:color w:val="595957"/>
          <w:sz w:val="19"/>
          <w:szCs w:val="19"/>
          <w:lang w:val="en-US"/>
        </w:rPr>
      </w:pPr>
      <w:r w:rsidRPr="00E904BD">
        <w:rPr>
          <w:rFonts w:ascii="Graphik Regular" w:eastAsia="Graphik Regular" w:hAnsi="Graphik Regular" w:cs="Graphik Medium"/>
          <w:color w:val="595957"/>
          <w:sz w:val="19"/>
          <w:szCs w:val="19"/>
          <w:lang w:val="en-US"/>
        </w:rPr>
        <w:t>Service activities in the areas of information and communication technologies, biotechnology and creative industries given their potential for contributing to the objectives established in Article 1 of Law N</w:t>
      </w:r>
      <w:r w:rsidRPr="00E904BD">
        <w:rPr>
          <w:rFonts w:ascii="Graphik Regular" w:eastAsia="Calibri" w:hAnsi="Graphik Regular" w:cs="Times New Roman"/>
          <w:color w:val="595957"/>
          <w:sz w:val="19"/>
          <w:lang w:val="en-US"/>
        </w:rPr>
        <w:t>º</w:t>
      </w:r>
      <w:r w:rsidRPr="00E904BD">
        <w:rPr>
          <w:rFonts w:ascii="Graphik Regular" w:eastAsia="Graphik Regular" w:hAnsi="Graphik Regular" w:cs="Graphik Medium"/>
          <w:color w:val="595957"/>
          <w:sz w:val="19"/>
          <w:szCs w:val="19"/>
          <w:lang w:val="en-US"/>
        </w:rPr>
        <w:t xml:space="preserve"> 19,784.</w:t>
      </w:r>
    </w:p>
    <w:p w14:paraId="1DDDB08D" w14:textId="77777777" w:rsidR="00E904BD" w:rsidRPr="00E904BD" w:rsidRDefault="00E904BD" w:rsidP="00E904BD">
      <w:pPr>
        <w:spacing w:after="0" w:line="360" w:lineRule="auto"/>
        <w:ind w:left="567"/>
        <w:jc w:val="both"/>
        <w:rPr>
          <w:rFonts w:ascii="Graphik Regular" w:eastAsia="Calibri" w:hAnsi="Graphik Regular" w:cs="Graphik Medium"/>
          <w:color w:val="595957"/>
          <w:sz w:val="19"/>
          <w:szCs w:val="19"/>
          <w:lang w:val="en-US"/>
        </w:rPr>
      </w:pPr>
    </w:p>
    <w:p w14:paraId="5CCAC419" w14:textId="77777777" w:rsidR="00E904BD" w:rsidRPr="00E904BD" w:rsidRDefault="00E904BD" w:rsidP="00E904BD">
      <w:pPr>
        <w:spacing w:after="260" w:line="360" w:lineRule="auto"/>
        <w:jc w:val="both"/>
        <w:rPr>
          <w:rFonts w:ascii="Graphik Regular" w:eastAsia="Calibri" w:hAnsi="Graphik Regular" w:cs="Graphik Medium"/>
          <w:color w:val="595957"/>
          <w:sz w:val="19"/>
          <w:szCs w:val="19"/>
          <w:lang w:val="en-US"/>
        </w:rPr>
      </w:pPr>
      <w:r w:rsidRPr="00E904BD">
        <w:rPr>
          <w:rFonts w:ascii="Graphik Regular" w:eastAsia="Graphik Regular" w:hAnsi="Graphik Regular" w:cs="Graphik Medium"/>
          <w:color w:val="595957"/>
          <w:sz w:val="19"/>
          <w:szCs w:val="19"/>
          <w:lang w:val="en-US"/>
        </w:rPr>
        <w:t>In the case of other users, they may receive an additional 5% IRAE exemption benefit.</w:t>
      </w:r>
    </w:p>
    <w:p w14:paraId="69D1D9BB" w14:textId="77777777" w:rsidR="00E904BD" w:rsidRPr="00E904BD" w:rsidRDefault="00E904BD" w:rsidP="00E904BD">
      <w:pPr>
        <w:spacing w:after="260" w:line="360" w:lineRule="auto"/>
        <w:jc w:val="both"/>
        <w:rPr>
          <w:rFonts w:ascii="Graphik Regular" w:eastAsia="Calibri" w:hAnsi="Graphik Regular" w:cs="Graphik Medium"/>
          <w:color w:val="595957"/>
          <w:sz w:val="19"/>
          <w:szCs w:val="19"/>
          <w:lang w:val="en-US"/>
        </w:rPr>
      </w:pPr>
      <w:r w:rsidRPr="00E904BD">
        <w:rPr>
          <w:rFonts w:ascii="Graphik Regular" w:eastAsia="Graphik Regular" w:hAnsi="Graphik Regular" w:cs="Graphik Medium"/>
          <w:color w:val="595957"/>
          <w:sz w:val="19"/>
          <w:szCs w:val="19"/>
          <w:lang w:val="en-US"/>
        </w:rPr>
        <w:t xml:space="preserve">In addition, those who carry out activities included in items a and b, will have a </w:t>
      </w:r>
      <w:r w:rsidRPr="00E904BD">
        <w:rPr>
          <w:rFonts w:ascii="Graphik Regular" w:eastAsia="Graphik Regular" w:hAnsi="Graphik Regular" w:cs="Graphik Medium"/>
          <w:b/>
          <w:bCs/>
          <w:color w:val="595957"/>
          <w:sz w:val="19"/>
          <w:szCs w:val="19"/>
          <w:lang w:val="en-US"/>
        </w:rPr>
        <w:t>tax credit for the employer's pension fund contributions</w:t>
      </w:r>
      <w:r w:rsidRPr="00E904BD">
        <w:rPr>
          <w:rFonts w:ascii="Graphik Regular" w:eastAsia="Graphik Regular" w:hAnsi="Graphik Regular" w:cs="Graphik Medium"/>
          <w:color w:val="595957"/>
          <w:sz w:val="19"/>
          <w:szCs w:val="19"/>
          <w:lang w:val="en-US"/>
        </w:rPr>
        <w:t xml:space="preserve"> during the compliance scheme period for the employment indicator (five years).</w:t>
      </w:r>
    </w:p>
    <w:p w14:paraId="329AD54B" w14:textId="77777777" w:rsidR="00E904BD" w:rsidRPr="00E904BD" w:rsidRDefault="00E904BD" w:rsidP="00E904BD">
      <w:pPr>
        <w:keepNext/>
        <w:keepLines/>
        <w:numPr>
          <w:ilvl w:val="1"/>
          <w:numId w:val="0"/>
        </w:numPr>
        <w:spacing w:before="520" w:after="360" w:line="240" w:lineRule="auto"/>
        <w:ind w:left="567" w:hanging="567"/>
        <w:contextualSpacing/>
        <w:outlineLvl w:val="1"/>
        <w:rPr>
          <w:rFonts w:ascii="Graphik Semibold" w:eastAsia="Times New Roman" w:hAnsi="Graphik Semibold" w:cs="Times New Roman (Títulos en alf"/>
          <w:caps/>
          <w:color w:val="005496"/>
          <w:spacing w:val="28"/>
          <w:kern w:val="28"/>
          <w:sz w:val="28"/>
          <w:szCs w:val="26"/>
          <w:lang w:val="en-US"/>
        </w:rPr>
      </w:pPr>
      <w:bookmarkStart w:id="5" w:name="_Toc74822429"/>
      <w:bookmarkStart w:id="6" w:name="_Toc101113577"/>
      <w:bookmarkStart w:id="7" w:name="_Hlk77778544"/>
      <w:r w:rsidRPr="00E904BD">
        <w:rPr>
          <w:rFonts w:ascii="Graphik Semibold" w:eastAsia="Graphik Semibold" w:hAnsi="Graphik Semibold" w:cs="Times New Roman (Títulos en alf"/>
          <w:caps/>
          <w:color w:val="005496"/>
          <w:spacing w:val="28"/>
          <w:kern w:val="28"/>
          <w:sz w:val="28"/>
          <w:szCs w:val="28"/>
          <w:lang w:val="en-US"/>
        </w:rPr>
        <w:t>Forestry Law (N</w:t>
      </w:r>
      <w:r w:rsidRPr="00E904BD">
        <w:rPr>
          <w:rFonts w:ascii="Graphik Semibold" w:eastAsia="Times New Roman" w:hAnsi="Graphik Semibold" w:cs="Times New Roman (Títulos en alf"/>
          <w:caps/>
          <w:color w:val="005496"/>
          <w:spacing w:val="28"/>
          <w:kern w:val="28"/>
          <w:sz w:val="28"/>
          <w:szCs w:val="26"/>
          <w:lang w:val="en-US"/>
        </w:rPr>
        <w:t>º</w:t>
      </w:r>
      <w:r w:rsidRPr="00E904BD">
        <w:rPr>
          <w:rFonts w:ascii="Graphik Semibold" w:eastAsia="Graphik Semibold" w:hAnsi="Graphik Semibold" w:cs="Times New Roman (Títulos en alf"/>
          <w:caps/>
          <w:color w:val="005496"/>
          <w:spacing w:val="28"/>
          <w:kern w:val="28"/>
          <w:sz w:val="28"/>
          <w:szCs w:val="28"/>
          <w:lang w:val="en-US"/>
        </w:rPr>
        <w:t xml:space="preserve"> 15,939)</w:t>
      </w:r>
      <w:r w:rsidRPr="00E904BD">
        <w:rPr>
          <w:rFonts w:ascii="Graphik Semibold" w:eastAsia="Times New Roman" w:hAnsi="Graphik Semibold" w:cs="Times New Roman (Títulos en alf"/>
          <w:caps/>
          <w:color w:val="005496"/>
          <w:spacing w:val="28"/>
          <w:kern w:val="28"/>
          <w:sz w:val="28"/>
          <w:szCs w:val="26"/>
          <w:vertAlign w:val="superscript"/>
          <w:lang w:val="en-US"/>
        </w:rPr>
        <w:footnoteReference w:id="7"/>
      </w:r>
      <w:bookmarkEnd w:id="5"/>
      <w:bookmarkEnd w:id="6"/>
    </w:p>
    <w:p w14:paraId="78F56979" w14:textId="77777777" w:rsidR="00E904BD" w:rsidRPr="00E904BD" w:rsidRDefault="00E904BD" w:rsidP="00E904BD">
      <w:pPr>
        <w:spacing w:after="260" w:line="360" w:lineRule="auto"/>
        <w:jc w:val="both"/>
        <w:rPr>
          <w:rFonts w:ascii="Graphik Regular" w:eastAsia="Calibri" w:hAnsi="Graphik Regular" w:cs="Times New Roman"/>
          <w:color w:val="595957"/>
          <w:sz w:val="19"/>
          <w:lang w:val="en-US"/>
        </w:rPr>
      </w:pPr>
      <w:r w:rsidRPr="00E904BD">
        <w:rPr>
          <w:rFonts w:ascii="Graphik Regular" w:eastAsia="Graphik Regular" w:hAnsi="Graphik Regular" w:cs="Times New Roman"/>
          <w:color w:val="595957"/>
          <w:sz w:val="19"/>
          <w:szCs w:val="19"/>
          <w:lang w:val="en-US"/>
        </w:rPr>
        <w:t>Plantations and other activities related to forestry are regulated by Law N</w:t>
      </w:r>
      <w:r w:rsidRPr="00E904BD">
        <w:rPr>
          <w:rFonts w:ascii="Graphik Regular" w:eastAsia="Calibri" w:hAnsi="Graphik Regular" w:cs="Times New Roman"/>
          <w:color w:val="595957"/>
          <w:sz w:val="19"/>
          <w:lang w:val="en-US"/>
        </w:rPr>
        <w:t>º</w:t>
      </w:r>
      <w:r w:rsidRPr="00E904BD">
        <w:rPr>
          <w:rFonts w:ascii="Graphik Regular" w:eastAsia="Graphik Regular" w:hAnsi="Graphik Regular" w:cs="Times New Roman"/>
          <w:color w:val="595957"/>
          <w:sz w:val="19"/>
          <w:szCs w:val="19"/>
          <w:lang w:val="en-US"/>
        </w:rPr>
        <w:t xml:space="preserve"> 15,939 of 1987 (“Forestry Law”), regulatory decrees and subsequent amendments. This law declares of national interest the defense, improvement, expansion and creation of forest resources, the development of forestry industries and, in general, of the forestry economy. This regulation establishes that natural and artificial forests in forest priority zones declared as “protective” and forests declared as “yield included in the quality wood projects defined by the Ministry of Livestock, Agriculture and Fisheries (MGAP), will enjoy the following tax benefits:</w:t>
      </w:r>
    </w:p>
    <w:p w14:paraId="79DC2EE1" w14:textId="77777777" w:rsidR="00E904BD" w:rsidRPr="00E904BD" w:rsidRDefault="00E904BD" w:rsidP="00E904BD">
      <w:pPr>
        <w:numPr>
          <w:ilvl w:val="0"/>
          <w:numId w:val="1"/>
        </w:numPr>
        <w:autoSpaceDE w:val="0"/>
        <w:autoSpaceDN w:val="0"/>
        <w:adjustRightInd w:val="0"/>
        <w:spacing w:before="120" w:after="120" w:line="276" w:lineRule="auto"/>
        <w:ind w:left="714" w:hanging="357"/>
        <w:contextualSpacing/>
        <w:jc w:val="both"/>
        <w:rPr>
          <w:rFonts w:ascii="Graphik Regular" w:eastAsia="Calibri" w:hAnsi="Graphik Regular" w:cs="Calibri"/>
          <w:color w:val="595957"/>
          <w:sz w:val="19"/>
          <w:lang w:val="en-US"/>
        </w:rPr>
      </w:pPr>
      <w:r w:rsidRPr="00E904BD">
        <w:rPr>
          <w:rFonts w:ascii="Graphik Regular" w:eastAsia="Graphik Regular" w:hAnsi="Graphik Regular" w:cs="Calibri"/>
          <w:color w:val="595957"/>
          <w:sz w:val="19"/>
          <w:szCs w:val="19"/>
          <w:lang w:val="en-US"/>
        </w:rPr>
        <w:t>Income derived from its exploitation is not considered for IRAE purposes.</w:t>
      </w:r>
    </w:p>
    <w:p w14:paraId="0EFF6B8C" w14:textId="77777777" w:rsidR="00E904BD" w:rsidRPr="00E904BD" w:rsidRDefault="00E904BD" w:rsidP="00E904BD">
      <w:pPr>
        <w:numPr>
          <w:ilvl w:val="0"/>
          <w:numId w:val="1"/>
        </w:numPr>
        <w:autoSpaceDE w:val="0"/>
        <w:autoSpaceDN w:val="0"/>
        <w:adjustRightInd w:val="0"/>
        <w:spacing w:before="120" w:after="120" w:line="276" w:lineRule="auto"/>
        <w:ind w:left="714" w:hanging="357"/>
        <w:contextualSpacing/>
        <w:jc w:val="both"/>
        <w:rPr>
          <w:rFonts w:ascii="Graphik Regular" w:eastAsia="Calibri" w:hAnsi="Graphik Regular" w:cs="Calibri"/>
          <w:color w:val="595957"/>
          <w:sz w:val="19"/>
          <w:lang w:val="en-US"/>
        </w:rPr>
      </w:pPr>
      <w:r w:rsidRPr="00E904BD">
        <w:rPr>
          <w:rFonts w:ascii="Graphik Regular" w:eastAsia="Graphik Regular" w:hAnsi="Graphik Regular" w:cs="Calibri"/>
          <w:color w:val="595957"/>
          <w:sz w:val="19"/>
          <w:szCs w:val="19"/>
          <w:lang w:val="en-US"/>
        </w:rPr>
        <w:t>Their respective values or extensions are not considered for the calculation of the Wealth Tax taxable amount.</w:t>
      </w:r>
    </w:p>
    <w:p w14:paraId="77CD8C6F" w14:textId="77777777" w:rsidR="00E904BD" w:rsidRPr="00E904BD" w:rsidRDefault="00E904BD" w:rsidP="00E904BD">
      <w:pPr>
        <w:numPr>
          <w:ilvl w:val="0"/>
          <w:numId w:val="1"/>
        </w:numPr>
        <w:autoSpaceDE w:val="0"/>
        <w:autoSpaceDN w:val="0"/>
        <w:adjustRightInd w:val="0"/>
        <w:spacing w:before="120" w:after="120" w:line="276" w:lineRule="auto"/>
        <w:ind w:left="714" w:hanging="357"/>
        <w:contextualSpacing/>
        <w:jc w:val="both"/>
        <w:rPr>
          <w:rFonts w:ascii="Graphik Regular" w:eastAsia="Calibri" w:hAnsi="Graphik Regular" w:cs="Calibri"/>
          <w:color w:val="595957"/>
          <w:sz w:val="19"/>
          <w:lang w:val="en-US"/>
        </w:rPr>
      </w:pPr>
      <w:r w:rsidRPr="00E904BD">
        <w:rPr>
          <w:rFonts w:ascii="Graphik Regular" w:eastAsia="Graphik Regular" w:hAnsi="Graphik Regular" w:cs="Calibri"/>
          <w:color w:val="595957"/>
          <w:sz w:val="19"/>
          <w:szCs w:val="19"/>
          <w:lang w:val="en-US"/>
        </w:rPr>
        <w:t>Exemption from the Rural Real Estate Tax (land property tax).</w:t>
      </w:r>
    </w:p>
    <w:p w14:paraId="23916F78" w14:textId="77777777" w:rsidR="00E904BD" w:rsidRPr="00E904BD" w:rsidRDefault="00E904BD" w:rsidP="00E904BD">
      <w:pPr>
        <w:autoSpaceDE w:val="0"/>
        <w:autoSpaceDN w:val="0"/>
        <w:adjustRightInd w:val="0"/>
        <w:spacing w:after="0" w:line="276" w:lineRule="auto"/>
        <w:jc w:val="both"/>
        <w:rPr>
          <w:rFonts w:ascii="Graphik Regular" w:eastAsia="Calibri" w:hAnsi="Graphik Regular" w:cs="Calibri"/>
          <w:b/>
          <w:bCs/>
          <w:color w:val="005698"/>
          <w:sz w:val="19"/>
          <w:lang w:val="en-US"/>
        </w:rPr>
      </w:pPr>
    </w:p>
    <w:p w14:paraId="1D6E0CDD" w14:textId="77777777" w:rsidR="00E904BD" w:rsidRPr="00E904BD" w:rsidRDefault="00E904BD" w:rsidP="00E904BD">
      <w:pPr>
        <w:spacing w:after="260" w:line="360" w:lineRule="auto"/>
        <w:jc w:val="both"/>
        <w:rPr>
          <w:rFonts w:ascii="Graphik Regular" w:eastAsia="Calibri" w:hAnsi="Graphik Regular" w:cs="Times New Roman"/>
          <w:color w:val="595957"/>
          <w:sz w:val="19"/>
          <w:lang w:val="en-US"/>
        </w:rPr>
      </w:pPr>
      <w:proofErr w:type="gramStart"/>
      <w:r w:rsidRPr="00E904BD">
        <w:rPr>
          <w:rFonts w:ascii="Graphik Regular" w:eastAsia="Graphik Regular" w:hAnsi="Graphik Regular" w:cs="Times New Roman"/>
          <w:color w:val="595957"/>
          <w:sz w:val="19"/>
          <w:szCs w:val="19"/>
          <w:lang w:val="en-US"/>
        </w:rPr>
        <w:t>In order to</w:t>
      </w:r>
      <w:proofErr w:type="gramEnd"/>
      <w:r w:rsidRPr="00E904BD">
        <w:rPr>
          <w:rFonts w:ascii="Graphik Regular" w:eastAsia="Graphik Regular" w:hAnsi="Graphik Regular" w:cs="Times New Roman"/>
          <w:color w:val="595957"/>
          <w:sz w:val="19"/>
          <w:szCs w:val="19"/>
          <w:lang w:val="en-US"/>
        </w:rPr>
        <w:t xml:space="preserve"> access the aforementioned tax benefits, the General Forestry Directorate of the Ministry of Livestock, Agriculture and Fisheries must approve the management and planning project for the exploitation and regeneration of forests. Any modification to said management plan must be previously approved by the General Forestry Directorate. It should be noted that </w:t>
      </w:r>
      <w:r w:rsidRPr="00E904BD">
        <w:rPr>
          <w:rFonts w:ascii="Graphik Regular" w:eastAsia="Graphik Regular" w:hAnsi="Graphik Regular" w:cs="Times New Roman"/>
          <w:color w:val="595957"/>
          <w:sz w:val="19"/>
          <w:szCs w:val="19"/>
          <w:lang w:val="en-US"/>
        </w:rPr>
        <w:lastRenderedPageBreak/>
        <w:t>short rotation plantations (less than fifteen years) without pruning and thinning management are not tax exempt.</w:t>
      </w:r>
    </w:p>
    <w:p w14:paraId="21F02B97" w14:textId="77777777" w:rsidR="00E904BD" w:rsidRPr="00E904BD" w:rsidRDefault="00E904BD" w:rsidP="00E904BD">
      <w:pPr>
        <w:spacing w:after="260" w:line="360" w:lineRule="auto"/>
        <w:jc w:val="both"/>
        <w:rPr>
          <w:rFonts w:ascii="Graphik Regular" w:eastAsia="Calibri" w:hAnsi="Graphik Regular" w:cs="Times New Roman"/>
          <w:color w:val="595957"/>
          <w:sz w:val="19"/>
          <w:lang w:val="en-US"/>
        </w:rPr>
      </w:pPr>
      <w:r w:rsidRPr="00E904BD">
        <w:rPr>
          <w:rFonts w:ascii="Graphik Regular" w:eastAsia="Graphik Regular" w:hAnsi="Graphik Regular" w:cs="Times New Roman"/>
          <w:color w:val="595957"/>
          <w:sz w:val="19"/>
          <w:szCs w:val="19"/>
          <w:lang w:val="en-US"/>
        </w:rPr>
        <w:t>Likewise, Decree 002/012 considers the purchase of seedlings and the cost of planting multiannual fruit trees and shrubs as part of the investment in promoted activities.</w:t>
      </w:r>
    </w:p>
    <w:p w14:paraId="15C50744" w14:textId="77777777" w:rsidR="00E904BD" w:rsidRPr="00E904BD" w:rsidRDefault="00E904BD" w:rsidP="00E904BD">
      <w:pPr>
        <w:spacing w:after="260" w:line="360" w:lineRule="auto"/>
        <w:jc w:val="both"/>
        <w:rPr>
          <w:rFonts w:ascii="Graphik Regular" w:eastAsia="Calibri" w:hAnsi="Graphik Regular" w:cs="Times New Roman"/>
          <w:color w:val="595957"/>
          <w:sz w:val="19"/>
          <w:lang w:val="en-US"/>
        </w:rPr>
      </w:pPr>
      <w:r w:rsidRPr="00E904BD">
        <w:rPr>
          <w:rFonts w:ascii="Graphik Regular" w:eastAsia="Graphik Regular" w:hAnsi="Graphik Regular" w:cs="Times New Roman"/>
          <w:color w:val="595957"/>
          <w:sz w:val="19"/>
          <w:szCs w:val="19"/>
          <w:u w:val="single"/>
          <w:lang w:val="en-US"/>
        </w:rPr>
        <w:t>Regulations</w:t>
      </w:r>
      <w:r w:rsidRPr="00E904BD">
        <w:rPr>
          <w:rFonts w:ascii="Graphik Regular" w:eastAsia="Graphik Regular" w:hAnsi="Graphik Regular" w:cs="Times New Roman"/>
          <w:color w:val="595957"/>
          <w:sz w:val="19"/>
          <w:szCs w:val="19"/>
          <w:lang w:val="en-US"/>
        </w:rPr>
        <w:t xml:space="preserve">: </w:t>
      </w:r>
      <w:hyperlink r:id="rId10" w:history="1">
        <w:r w:rsidRPr="00E904BD">
          <w:rPr>
            <w:rFonts w:ascii="Graphik Regular" w:eastAsia="Graphik Regular" w:hAnsi="Graphik Regular" w:cs="Times New Roman"/>
            <w:color w:val="595957"/>
            <w:sz w:val="19"/>
            <w:szCs w:val="19"/>
            <w:lang w:val="en-US"/>
          </w:rPr>
          <w:t>Law N</w:t>
        </w:r>
        <w:r w:rsidRPr="00E904BD">
          <w:rPr>
            <w:rFonts w:ascii="Graphik Regular" w:eastAsia="Calibri" w:hAnsi="Graphik Regular" w:cs="Times New Roman"/>
            <w:color w:val="595957"/>
            <w:sz w:val="19"/>
            <w:lang w:val="en-US"/>
          </w:rPr>
          <w:t>º</w:t>
        </w:r>
        <w:r w:rsidRPr="00E904BD">
          <w:rPr>
            <w:rFonts w:ascii="Graphik Regular" w:eastAsia="Graphik Regular" w:hAnsi="Graphik Regular" w:cs="Times New Roman"/>
            <w:color w:val="595957"/>
            <w:sz w:val="19"/>
            <w:szCs w:val="19"/>
            <w:lang w:val="en-US"/>
          </w:rPr>
          <w:t xml:space="preserve"> 15,939</w:t>
        </w:r>
      </w:hyperlink>
      <w:r w:rsidRPr="00E904BD">
        <w:rPr>
          <w:rFonts w:ascii="Graphik Regular" w:eastAsia="Graphik Regular" w:hAnsi="Graphik Regular" w:cs="Times New Roman"/>
          <w:color w:val="595957"/>
          <w:sz w:val="19"/>
          <w:szCs w:val="19"/>
          <w:lang w:val="en-US"/>
        </w:rPr>
        <w:t xml:space="preserve">, </w:t>
      </w:r>
      <w:hyperlink r:id="rId11" w:history="1">
        <w:r w:rsidRPr="00E904BD">
          <w:rPr>
            <w:rFonts w:ascii="Graphik Regular" w:eastAsia="Graphik Regular" w:hAnsi="Graphik Regular" w:cs="Times New Roman"/>
            <w:color w:val="595957"/>
            <w:sz w:val="19"/>
            <w:szCs w:val="19"/>
            <w:lang w:val="en-US"/>
          </w:rPr>
          <w:t>Law N</w:t>
        </w:r>
        <w:r w:rsidRPr="00E904BD">
          <w:rPr>
            <w:rFonts w:ascii="Graphik Regular" w:eastAsia="Calibri" w:hAnsi="Graphik Regular" w:cs="Times New Roman"/>
            <w:color w:val="595957"/>
            <w:sz w:val="19"/>
            <w:lang w:val="en-US"/>
          </w:rPr>
          <w:t>º</w:t>
        </w:r>
        <w:r w:rsidRPr="00E904BD">
          <w:rPr>
            <w:rFonts w:ascii="Graphik Regular" w:eastAsia="Graphik Regular" w:hAnsi="Graphik Regular" w:cs="Times New Roman"/>
            <w:color w:val="595957"/>
            <w:sz w:val="19"/>
            <w:szCs w:val="19"/>
            <w:lang w:val="en-US"/>
          </w:rPr>
          <w:t xml:space="preserve"> 18,245</w:t>
        </w:r>
      </w:hyperlink>
      <w:r w:rsidRPr="00E904BD">
        <w:rPr>
          <w:rFonts w:ascii="Graphik Regular" w:eastAsia="Graphik Regular" w:hAnsi="Graphik Regular" w:cs="Times New Roman"/>
          <w:color w:val="595957"/>
          <w:sz w:val="19"/>
          <w:szCs w:val="19"/>
          <w:lang w:val="en-US"/>
        </w:rPr>
        <w:t>, Title 4 of Consolidated Text, Law N</w:t>
      </w:r>
      <w:r w:rsidRPr="00E904BD">
        <w:rPr>
          <w:rFonts w:ascii="Graphik Regular" w:eastAsia="Calibri" w:hAnsi="Graphik Regular" w:cs="Times New Roman"/>
          <w:color w:val="595957"/>
          <w:sz w:val="19"/>
          <w:lang w:val="en-US"/>
        </w:rPr>
        <w:t>º</w:t>
      </w:r>
      <w:r w:rsidRPr="00E904BD">
        <w:rPr>
          <w:rFonts w:ascii="Graphik Regular" w:eastAsia="Graphik Regular" w:hAnsi="Graphik Regular" w:cs="Times New Roman"/>
          <w:color w:val="595957"/>
          <w:sz w:val="19"/>
          <w:szCs w:val="19"/>
          <w:lang w:val="en-US"/>
        </w:rPr>
        <w:t xml:space="preserve"> 18,083 and Regulatory Decrees.</w:t>
      </w:r>
      <w:bookmarkEnd w:id="7"/>
    </w:p>
    <w:p w14:paraId="42B47326" w14:textId="77777777" w:rsidR="00E904BD" w:rsidRPr="00E904BD" w:rsidRDefault="00E904BD" w:rsidP="00E904BD">
      <w:pPr>
        <w:spacing w:after="260" w:line="360" w:lineRule="auto"/>
        <w:jc w:val="both"/>
        <w:rPr>
          <w:rFonts w:ascii="Graphik Regular" w:eastAsia="Calibri" w:hAnsi="Graphik Regular" w:cs="Times New Roman"/>
          <w:color w:val="595957"/>
          <w:sz w:val="19"/>
          <w:lang w:val="en-US"/>
        </w:rPr>
      </w:pPr>
    </w:p>
    <w:p w14:paraId="1FB26288" w14:textId="77777777" w:rsidR="00E904BD" w:rsidRPr="00E904BD" w:rsidRDefault="00E904BD" w:rsidP="00E904BD">
      <w:pPr>
        <w:keepNext/>
        <w:keepLines/>
        <w:numPr>
          <w:ilvl w:val="1"/>
          <w:numId w:val="0"/>
        </w:numPr>
        <w:spacing w:before="240" w:after="360" w:line="240" w:lineRule="auto"/>
        <w:ind w:left="567" w:hanging="567"/>
        <w:contextualSpacing/>
        <w:outlineLvl w:val="1"/>
        <w:rPr>
          <w:rFonts w:ascii="Graphik Semibold" w:eastAsia="Times New Roman" w:hAnsi="Graphik Semibold" w:cs="Times New Roman (Títulos en alf"/>
          <w:caps/>
          <w:color w:val="005496"/>
          <w:spacing w:val="28"/>
          <w:kern w:val="28"/>
          <w:sz w:val="28"/>
          <w:szCs w:val="26"/>
          <w:lang w:val="en-US"/>
        </w:rPr>
      </w:pPr>
      <w:bookmarkStart w:id="8" w:name="_Toc74822431"/>
      <w:bookmarkStart w:id="9" w:name="_Toc101113578"/>
      <w:r w:rsidRPr="00E904BD">
        <w:rPr>
          <w:rFonts w:ascii="Graphik Semibold" w:eastAsia="Graphik Semibold" w:hAnsi="Graphik Semibold" w:cs="Times New Roman (Títulos en alf"/>
          <w:caps/>
          <w:color w:val="005496"/>
          <w:spacing w:val="28"/>
          <w:kern w:val="28"/>
          <w:sz w:val="28"/>
          <w:szCs w:val="28"/>
          <w:lang w:val="en-US"/>
        </w:rPr>
        <w:t>General Export Incentives</w:t>
      </w:r>
      <w:bookmarkEnd w:id="8"/>
      <w:bookmarkEnd w:id="9"/>
    </w:p>
    <w:p w14:paraId="197ABA33" w14:textId="77777777" w:rsidR="00E904BD" w:rsidRPr="00E904BD" w:rsidRDefault="00E904BD" w:rsidP="00E904BD">
      <w:pPr>
        <w:spacing w:after="260" w:line="360" w:lineRule="auto"/>
        <w:jc w:val="both"/>
        <w:rPr>
          <w:rFonts w:ascii="Graphik Regular" w:eastAsia="Calibri" w:hAnsi="Graphik Regular" w:cs="Times New Roman"/>
          <w:b/>
          <w:bCs/>
          <w:color w:val="595957"/>
          <w:sz w:val="19"/>
          <w:lang w:val="en-US"/>
        </w:rPr>
      </w:pPr>
      <w:r w:rsidRPr="00E904BD">
        <w:rPr>
          <w:rFonts w:ascii="Graphik Regular" w:eastAsia="Graphik Regular" w:hAnsi="Graphik Regular" w:cs="Times New Roman"/>
          <w:b/>
          <w:bCs/>
          <w:color w:val="595957"/>
          <w:sz w:val="19"/>
          <w:szCs w:val="19"/>
          <w:lang w:val="en-US"/>
        </w:rPr>
        <w:t>TEMPORARY ADMISSION</w:t>
      </w:r>
    </w:p>
    <w:p w14:paraId="1445F240" w14:textId="77777777" w:rsidR="00E904BD" w:rsidRPr="00E904BD" w:rsidRDefault="00E904BD" w:rsidP="00E904BD">
      <w:pPr>
        <w:spacing w:after="260" w:line="360" w:lineRule="auto"/>
        <w:jc w:val="both"/>
        <w:rPr>
          <w:rFonts w:ascii="Graphik Regular" w:eastAsia="Calibri" w:hAnsi="Graphik Regular" w:cs="Times New Roman"/>
          <w:color w:val="595957"/>
          <w:sz w:val="19"/>
          <w:lang w:val="en-US"/>
        </w:rPr>
      </w:pPr>
      <w:r w:rsidRPr="00E904BD">
        <w:rPr>
          <w:rFonts w:ascii="Graphik Regular" w:eastAsia="Graphik Regular" w:hAnsi="Graphik Regular" w:cs="Times New Roman"/>
          <w:color w:val="595957"/>
          <w:sz w:val="19"/>
          <w:szCs w:val="19"/>
          <w:lang w:val="en-US"/>
        </w:rPr>
        <w:t xml:space="preserve">Temporary Admission allows the introduction of foreign goods from outside the national customs territory, free of taxes, for a specific purpose other than consumption (on a non-permanent basis) to be re-dispatched within a certain </w:t>
      </w:r>
      <w:proofErr w:type="gramStart"/>
      <w:r w:rsidRPr="00E904BD">
        <w:rPr>
          <w:rFonts w:ascii="Graphik Regular" w:eastAsia="Graphik Regular" w:hAnsi="Graphik Regular" w:cs="Times New Roman"/>
          <w:color w:val="595957"/>
          <w:sz w:val="19"/>
          <w:szCs w:val="19"/>
          <w:lang w:val="en-US"/>
        </w:rPr>
        <w:t>period of time</w:t>
      </w:r>
      <w:proofErr w:type="gramEnd"/>
      <w:r w:rsidRPr="00E904BD">
        <w:rPr>
          <w:rFonts w:ascii="Graphik Regular" w:eastAsia="Graphik Regular" w:hAnsi="Graphik Regular" w:cs="Times New Roman"/>
          <w:color w:val="595957"/>
          <w:sz w:val="19"/>
          <w:szCs w:val="19"/>
          <w:lang w:val="en-US"/>
        </w:rPr>
        <w:t>, either on an “as is” basis or after having undergone a certain transformation, processing, repair or value addition, with effective employment of labor.</w:t>
      </w:r>
    </w:p>
    <w:p w14:paraId="5A6B2BCF" w14:textId="77777777" w:rsidR="00E904BD" w:rsidRPr="00E904BD" w:rsidRDefault="00E904BD" w:rsidP="00E904BD">
      <w:pPr>
        <w:spacing w:after="260" w:line="360" w:lineRule="auto"/>
        <w:jc w:val="both"/>
        <w:rPr>
          <w:rFonts w:ascii="Graphik Regular" w:eastAsia="Calibri" w:hAnsi="Graphik Regular" w:cs="Times New Roman"/>
          <w:color w:val="595957"/>
          <w:sz w:val="19"/>
          <w:lang w:val="en-US"/>
        </w:rPr>
      </w:pPr>
      <w:r w:rsidRPr="00E904BD">
        <w:rPr>
          <w:rFonts w:ascii="Graphik Regular" w:eastAsia="Graphik Regular" w:hAnsi="Graphik Regular" w:cs="Times New Roman"/>
          <w:color w:val="595957"/>
          <w:sz w:val="19"/>
          <w:szCs w:val="19"/>
          <w:lang w:val="en-US"/>
        </w:rPr>
        <w:t>Manufacturing companies can introduce duty-free raw materials and intermediate inputs for the product to be exported.</w:t>
      </w:r>
    </w:p>
    <w:p w14:paraId="5C7C84A1" w14:textId="77777777" w:rsidR="00E904BD" w:rsidRPr="00E904BD" w:rsidRDefault="00E904BD" w:rsidP="00E904BD">
      <w:pPr>
        <w:spacing w:after="260" w:line="360" w:lineRule="auto"/>
        <w:jc w:val="both"/>
        <w:rPr>
          <w:rFonts w:ascii="Graphik Regular" w:eastAsia="Calibri" w:hAnsi="Graphik Regular" w:cs="Times New Roman"/>
          <w:color w:val="595957"/>
          <w:sz w:val="19"/>
          <w:lang w:val="en-US"/>
        </w:rPr>
      </w:pPr>
      <w:r w:rsidRPr="00E904BD">
        <w:rPr>
          <w:rFonts w:ascii="Graphik Regular" w:eastAsia="Graphik Regular" w:hAnsi="Graphik Regular" w:cs="Times New Roman"/>
          <w:color w:val="595957"/>
          <w:sz w:val="19"/>
          <w:szCs w:val="19"/>
          <w:lang w:val="en-US"/>
        </w:rPr>
        <w:t>Machines and equipment of any origin, which enter temporarily for repair, maintenance, updating or use, are also covered by this regime.</w:t>
      </w:r>
    </w:p>
    <w:p w14:paraId="2FF90BED" w14:textId="77777777" w:rsidR="00E904BD" w:rsidRPr="00E904BD" w:rsidRDefault="00E904BD" w:rsidP="00E904BD">
      <w:pPr>
        <w:spacing w:after="260" w:line="360" w:lineRule="auto"/>
        <w:jc w:val="both"/>
        <w:rPr>
          <w:rFonts w:ascii="Graphik Regular" w:eastAsia="Calibri" w:hAnsi="Graphik Regular" w:cs="Times New Roman"/>
          <w:b/>
          <w:bCs/>
          <w:color w:val="595957"/>
          <w:sz w:val="19"/>
          <w:lang w:val="en-US"/>
        </w:rPr>
      </w:pPr>
      <w:r w:rsidRPr="00E904BD">
        <w:rPr>
          <w:rFonts w:ascii="Graphik Regular" w:eastAsia="Graphik Regular" w:hAnsi="Graphik Regular" w:cs="Times New Roman"/>
          <w:b/>
          <w:bCs/>
          <w:color w:val="595957"/>
          <w:sz w:val="19"/>
          <w:szCs w:val="19"/>
          <w:lang w:val="en-US"/>
        </w:rPr>
        <w:t>EXPORT TAX REFUNDS</w:t>
      </w:r>
    </w:p>
    <w:p w14:paraId="004B4B1C" w14:textId="77777777" w:rsidR="00E904BD" w:rsidRPr="00E904BD" w:rsidRDefault="00E904BD" w:rsidP="00E904BD">
      <w:pPr>
        <w:spacing w:after="260" w:line="360" w:lineRule="auto"/>
        <w:jc w:val="both"/>
        <w:rPr>
          <w:rFonts w:ascii="Graphik Regular" w:eastAsia="Calibri" w:hAnsi="Graphik Regular" w:cs="Times New Roman"/>
          <w:color w:val="595957"/>
          <w:sz w:val="19"/>
          <w:lang w:val="en-US"/>
        </w:rPr>
      </w:pPr>
      <w:r w:rsidRPr="00E904BD">
        <w:rPr>
          <w:rFonts w:ascii="Graphik Regular" w:eastAsia="Graphik Regular" w:hAnsi="Graphik Regular" w:cs="Times New Roman"/>
          <w:color w:val="595957"/>
          <w:sz w:val="19"/>
          <w:szCs w:val="19"/>
          <w:lang w:val="en-US"/>
        </w:rPr>
        <w:t>In the case of production and export activities, an export tax refund may be obtained (to be combined with temporary admission), depending on the product’s tariff classification. It can range from 3% to 6% of the FOB value exported. The benefit can be obtained by proving that the product reaches 20% of the National Added Value. Wood products in general benefit from a 6% refund.</w:t>
      </w:r>
    </w:p>
    <w:p w14:paraId="638D13A3" w14:textId="77777777" w:rsidR="00E904BD" w:rsidRPr="00E904BD" w:rsidRDefault="00E904BD" w:rsidP="00E904BD">
      <w:pPr>
        <w:spacing w:after="260" w:line="360" w:lineRule="auto"/>
        <w:jc w:val="both"/>
        <w:rPr>
          <w:rFonts w:ascii="Graphik Regular" w:eastAsia="Calibri" w:hAnsi="Graphik Regular" w:cs="Times New Roman"/>
          <w:b/>
          <w:bCs/>
          <w:color w:val="595957"/>
          <w:sz w:val="19"/>
          <w:lang w:val="en-US"/>
        </w:rPr>
      </w:pPr>
      <w:r w:rsidRPr="00E904BD">
        <w:rPr>
          <w:rFonts w:ascii="Graphik Regular" w:eastAsia="Graphik Regular" w:hAnsi="Graphik Regular" w:cs="Times New Roman"/>
          <w:b/>
          <w:bCs/>
          <w:color w:val="595957"/>
          <w:sz w:val="19"/>
          <w:szCs w:val="19"/>
          <w:lang w:val="en-US"/>
        </w:rPr>
        <w:t>REFUND OF VAT PAID ON INPUT PURCHASES</w:t>
      </w:r>
    </w:p>
    <w:p w14:paraId="36374356" w14:textId="77777777" w:rsidR="00E904BD" w:rsidRPr="00E904BD" w:rsidRDefault="00E904BD" w:rsidP="00E904BD">
      <w:pPr>
        <w:spacing w:after="260" w:line="360" w:lineRule="auto"/>
        <w:jc w:val="both"/>
        <w:rPr>
          <w:rFonts w:ascii="Graphik Regular" w:eastAsia="Calibri" w:hAnsi="Graphik Regular" w:cs="Times New Roman"/>
          <w:color w:val="595957"/>
          <w:sz w:val="19"/>
          <w:lang w:val="en-US"/>
        </w:rPr>
      </w:pPr>
      <w:r w:rsidRPr="00E904BD">
        <w:rPr>
          <w:rFonts w:ascii="Graphik Regular" w:eastAsia="Graphik Regular" w:hAnsi="Graphik Regular" w:cs="Times New Roman"/>
          <w:color w:val="595957"/>
          <w:sz w:val="19"/>
          <w:szCs w:val="19"/>
          <w:lang w:val="en-US"/>
        </w:rPr>
        <w:t xml:space="preserve">For non-exporting companies, VAT paid on purchases is recovered by deducting it from the VAT invoiced on sales made within the national territory, paying the State only the difference. In the </w:t>
      </w:r>
      <w:r w:rsidRPr="00E904BD">
        <w:rPr>
          <w:rFonts w:ascii="Graphik Regular" w:eastAsia="Graphik Regular" w:hAnsi="Graphik Regular" w:cs="Times New Roman"/>
          <w:color w:val="595957"/>
          <w:sz w:val="19"/>
          <w:szCs w:val="19"/>
          <w:lang w:val="en-US"/>
        </w:rPr>
        <w:lastRenderedPageBreak/>
        <w:t>case of exports (of goods and services</w:t>
      </w:r>
      <w:r w:rsidRPr="00E904BD">
        <w:rPr>
          <w:rFonts w:ascii="Graphik Regular" w:eastAsia="Calibri" w:hAnsi="Graphik Regular" w:cs="Times New Roman"/>
          <w:color w:val="595957"/>
          <w:sz w:val="19"/>
          <w:vertAlign w:val="superscript"/>
          <w:lang w:val="en-US"/>
        </w:rPr>
        <w:footnoteReference w:id="8"/>
      </w:r>
      <w:r w:rsidRPr="00E904BD">
        <w:rPr>
          <w:rFonts w:ascii="Graphik Regular" w:eastAsia="Graphik Regular" w:hAnsi="Graphik Regular" w:cs="Times New Roman"/>
          <w:color w:val="595957"/>
          <w:sz w:val="19"/>
          <w:szCs w:val="19"/>
          <w:lang w:val="en-US"/>
        </w:rPr>
        <w:t>) the tax is not invoiced, so the VAT included in the purchase of inputs is refunded directly at the company's request. The Tax Authority (DGI) issues credit certificates that may be used to pay other taxes.</w:t>
      </w:r>
    </w:p>
    <w:p w14:paraId="011F0A6B" w14:textId="77777777" w:rsidR="00E904BD" w:rsidRPr="00E904BD" w:rsidRDefault="00E904BD" w:rsidP="00E904BD">
      <w:pPr>
        <w:keepNext/>
        <w:keepLines/>
        <w:numPr>
          <w:ilvl w:val="1"/>
          <w:numId w:val="0"/>
        </w:numPr>
        <w:spacing w:before="520" w:after="360" w:line="240" w:lineRule="auto"/>
        <w:ind w:left="567" w:hanging="567"/>
        <w:contextualSpacing/>
        <w:outlineLvl w:val="1"/>
        <w:rPr>
          <w:rFonts w:ascii="Graphik Semibold" w:eastAsia="Times New Roman" w:hAnsi="Graphik Semibold" w:cs="Times New Roman (Títulos en alf"/>
          <w:caps/>
          <w:color w:val="005496"/>
          <w:spacing w:val="28"/>
          <w:kern w:val="28"/>
          <w:sz w:val="28"/>
          <w:szCs w:val="26"/>
          <w:lang w:val="en-US"/>
        </w:rPr>
      </w:pPr>
      <w:bookmarkStart w:id="10" w:name="_Toc74822432"/>
      <w:bookmarkStart w:id="11" w:name="_Toc101113579"/>
      <w:r w:rsidRPr="00E904BD">
        <w:rPr>
          <w:rFonts w:ascii="Graphik Semibold" w:eastAsia="Graphik Semibold" w:hAnsi="Graphik Semibold" w:cs="Times New Roman (Títulos en alf"/>
          <w:caps/>
          <w:color w:val="005496"/>
          <w:spacing w:val="28"/>
          <w:kern w:val="28"/>
          <w:sz w:val="28"/>
          <w:szCs w:val="28"/>
          <w:lang w:val="en-US"/>
        </w:rPr>
        <w:t>Free Trade Zone Regime</w:t>
      </w:r>
      <w:r w:rsidRPr="00E904BD">
        <w:rPr>
          <w:rFonts w:ascii="Graphik Semibold" w:eastAsia="Times New Roman" w:hAnsi="Graphik Semibold" w:cs="Times New Roman (Títulos en alf"/>
          <w:caps/>
          <w:color w:val="005496"/>
          <w:spacing w:val="28"/>
          <w:kern w:val="28"/>
          <w:sz w:val="28"/>
          <w:szCs w:val="24"/>
          <w:vertAlign w:val="superscript"/>
          <w:lang w:val="en-US"/>
        </w:rPr>
        <w:footnoteReference w:id="9"/>
      </w:r>
      <w:bookmarkEnd w:id="10"/>
      <w:bookmarkEnd w:id="11"/>
    </w:p>
    <w:p w14:paraId="1EDF6BFC" w14:textId="77777777" w:rsidR="00E904BD" w:rsidRPr="00E904BD" w:rsidRDefault="00E904BD" w:rsidP="00E904BD">
      <w:pPr>
        <w:spacing w:after="260" w:line="360" w:lineRule="auto"/>
        <w:jc w:val="both"/>
        <w:rPr>
          <w:rFonts w:ascii="Graphik Regular" w:eastAsia="Calibri" w:hAnsi="Graphik Regular" w:cs="Times New Roman"/>
          <w:color w:val="595957"/>
          <w:sz w:val="19"/>
          <w:lang w:val="en-US"/>
        </w:rPr>
      </w:pPr>
      <w:r w:rsidRPr="00E904BD">
        <w:rPr>
          <w:rFonts w:ascii="Graphik Regular" w:eastAsia="Graphik Regular" w:hAnsi="Graphik Regular" w:cs="Times New Roman"/>
          <w:color w:val="595957"/>
          <w:sz w:val="19"/>
          <w:szCs w:val="19"/>
          <w:lang w:val="en-US"/>
        </w:rPr>
        <w:t xml:space="preserve">Free trade zones are areas determined by the Executive Power where all types of industrial, </w:t>
      </w:r>
      <w:proofErr w:type="gramStart"/>
      <w:r w:rsidRPr="00E904BD">
        <w:rPr>
          <w:rFonts w:ascii="Graphik Regular" w:eastAsia="Graphik Regular" w:hAnsi="Graphik Regular" w:cs="Times New Roman"/>
          <w:color w:val="595957"/>
          <w:sz w:val="19"/>
          <w:szCs w:val="19"/>
          <w:lang w:val="en-US"/>
        </w:rPr>
        <w:t>commercial</w:t>
      </w:r>
      <w:proofErr w:type="gramEnd"/>
      <w:r w:rsidRPr="00E904BD">
        <w:rPr>
          <w:rFonts w:ascii="Graphik Regular" w:eastAsia="Graphik Regular" w:hAnsi="Graphik Regular" w:cs="Times New Roman"/>
          <w:color w:val="595957"/>
          <w:sz w:val="19"/>
          <w:szCs w:val="19"/>
          <w:lang w:val="en-US"/>
        </w:rPr>
        <w:t xml:space="preserve"> and service activities may be developed, without any limitation whatsoever and with total exemption of all domestic taxes created or to be created. Likewise, the introduction of goods to the premises is exempted from all taxes. The exemption does not include the social security contributions of Uruguayan staff. The State, by legal mandate, became the guarantor of the rights granted by law to users, being responsible for damages, to ensure the observance of said rights.</w:t>
      </w:r>
    </w:p>
    <w:p w14:paraId="7C3E7677" w14:textId="77777777" w:rsidR="00E904BD" w:rsidRPr="00E904BD" w:rsidRDefault="00E904BD" w:rsidP="00E904BD">
      <w:pPr>
        <w:spacing w:after="260" w:line="360" w:lineRule="auto"/>
        <w:jc w:val="both"/>
        <w:rPr>
          <w:rFonts w:ascii="Graphik Regular" w:eastAsia="Calibri" w:hAnsi="Graphik Regular" w:cs="Times New Roman"/>
          <w:color w:val="595957"/>
          <w:sz w:val="19"/>
          <w:lang w:val="en-US"/>
        </w:rPr>
      </w:pPr>
      <w:r w:rsidRPr="00E904BD">
        <w:rPr>
          <w:rFonts w:ascii="Graphik Regular" w:eastAsia="Graphik Regular" w:hAnsi="Graphik Regular" w:cs="Times New Roman"/>
          <w:color w:val="595957"/>
          <w:sz w:val="19"/>
          <w:szCs w:val="19"/>
          <w:lang w:val="en-US"/>
        </w:rPr>
        <w:t>The current regime is governed by Law N</w:t>
      </w:r>
      <w:r w:rsidRPr="00E904BD">
        <w:rPr>
          <w:rFonts w:ascii="Graphik Regular" w:eastAsia="Calibri" w:hAnsi="Graphik Regular" w:cs="Times New Roman"/>
          <w:color w:val="595957"/>
          <w:sz w:val="19"/>
          <w:lang w:val="en-US"/>
        </w:rPr>
        <w:t>º</w:t>
      </w:r>
      <w:r w:rsidRPr="00E904BD">
        <w:rPr>
          <w:rFonts w:ascii="Graphik Regular" w:eastAsia="Graphik Regular" w:hAnsi="Graphik Regular" w:cs="Times New Roman"/>
          <w:color w:val="595957"/>
          <w:sz w:val="19"/>
          <w:szCs w:val="19"/>
          <w:lang w:val="en-US"/>
        </w:rPr>
        <w:t xml:space="preserve"> 19,566 since December 2017. Previously, it was governed by Law N</w:t>
      </w:r>
      <w:r w:rsidRPr="00E904BD">
        <w:rPr>
          <w:rFonts w:ascii="Graphik Regular" w:eastAsia="Calibri" w:hAnsi="Graphik Regular" w:cs="Times New Roman"/>
          <w:color w:val="595957"/>
          <w:sz w:val="19"/>
          <w:lang w:val="en-US"/>
        </w:rPr>
        <w:t>º</w:t>
      </w:r>
      <w:r w:rsidRPr="00E904BD">
        <w:rPr>
          <w:rFonts w:ascii="Graphik Regular" w:eastAsia="Graphik Regular" w:hAnsi="Graphik Regular" w:cs="Times New Roman"/>
          <w:color w:val="595957"/>
          <w:sz w:val="19"/>
          <w:szCs w:val="19"/>
          <w:lang w:val="en-US"/>
        </w:rPr>
        <w:t xml:space="preserve"> 15,921 with amendments introduced by Article 65 of Law N</w:t>
      </w:r>
      <w:r w:rsidRPr="00E904BD">
        <w:rPr>
          <w:rFonts w:ascii="Graphik Regular" w:eastAsia="Calibri" w:hAnsi="Graphik Regular" w:cs="Times New Roman"/>
          <w:color w:val="595957"/>
          <w:sz w:val="19"/>
          <w:lang w:val="en-US"/>
        </w:rPr>
        <w:t>º</w:t>
      </w:r>
      <w:r w:rsidRPr="00E904BD">
        <w:rPr>
          <w:rFonts w:ascii="Graphik Regular" w:eastAsia="Graphik Regular" w:hAnsi="Graphik Regular" w:cs="Times New Roman"/>
          <w:color w:val="595957"/>
          <w:sz w:val="19"/>
          <w:szCs w:val="19"/>
          <w:lang w:val="en-US"/>
        </w:rPr>
        <w:t xml:space="preserve"> 17,292, Article 23 of Law N</w:t>
      </w:r>
      <w:r w:rsidRPr="00E904BD">
        <w:rPr>
          <w:rFonts w:ascii="Graphik Regular" w:eastAsia="Calibri" w:hAnsi="Graphik Regular" w:cs="Times New Roman"/>
          <w:color w:val="595957"/>
          <w:sz w:val="19"/>
          <w:lang w:val="en-US"/>
        </w:rPr>
        <w:t>º</w:t>
      </w:r>
      <w:r w:rsidRPr="00E904BD">
        <w:rPr>
          <w:rFonts w:ascii="Graphik Regular" w:eastAsia="Graphik Regular" w:hAnsi="Graphik Regular" w:cs="Times New Roman"/>
          <w:color w:val="595957"/>
          <w:sz w:val="19"/>
          <w:szCs w:val="19"/>
          <w:lang w:val="en-US"/>
        </w:rPr>
        <w:t xml:space="preserve"> 17,781 and indirectly by Law N</w:t>
      </w:r>
      <w:r w:rsidRPr="00E904BD">
        <w:rPr>
          <w:rFonts w:ascii="Graphik Regular" w:eastAsia="Calibri" w:hAnsi="Graphik Regular" w:cs="Times New Roman"/>
          <w:color w:val="595957"/>
          <w:sz w:val="19"/>
          <w:lang w:val="en-US"/>
        </w:rPr>
        <w:t>º</w:t>
      </w:r>
      <w:r w:rsidRPr="00E904BD">
        <w:rPr>
          <w:rFonts w:ascii="Graphik Regular" w:eastAsia="Graphik Regular" w:hAnsi="Graphik Regular" w:cs="Times New Roman"/>
          <w:color w:val="595957"/>
          <w:sz w:val="19"/>
          <w:szCs w:val="19"/>
          <w:lang w:val="en-US"/>
        </w:rPr>
        <w:t xml:space="preserve"> 18,083. </w:t>
      </w:r>
    </w:p>
    <w:p w14:paraId="0353A95C" w14:textId="77777777" w:rsidR="00E904BD" w:rsidRPr="00E904BD" w:rsidRDefault="00E904BD" w:rsidP="00E904BD">
      <w:pPr>
        <w:spacing w:after="260" w:line="360" w:lineRule="auto"/>
        <w:jc w:val="both"/>
        <w:rPr>
          <w:rFonts w:ascii="Graphik Regular" w:eastAsia="Calibri" w:hAnsi="Graphik Regular" w:cs="Times New Roman"/>
          <w:color w:val="595957"/>
          <w:sz w:val="19"/>
          <w:lang w:val="en-US"/>
        </w:rPr>
      </w:pPr>
      <w:r w:rsidRPr="00E904BD">
        <w:rPr>
          <w:rFonts w:ascii="Graphik Regular" w:eastAsia="Graphik Regular" w:hAnsi="Graphik Regular" w:cs="Times New Roman"/>
          <w:color w:val="595957"/>
          <w:sz w:val="19"/>
          <w:szCs w:val="19"/>
          <w:lang w:val="en-US"/>
        </w:rPr>
        <w:t>There are three types of subjects that companies may adopt in relation to free trade zones: operators, direct users, and customers.</w:t>
      </w:r>
    </w:p>
    <w:p w14:paraId="3B94DC81" w14:textId="77777777" w:rsidR="00E904BD" w:rsidRPr="00E904BD" w:rsidRDefault="00E904BD" w:rsidP="00E904BD">
      <w:pPr>
        <w:numPr>
          <w:ilvl w:val="0"/>
          <w:numId w:val="2"/>
        </w:numPr>
        <w:spacing w:before="240" w:after="260" w:line="276" w:lineRule="auto"/>
        <w:contextualSpacing/>
        <w:jc w:val="both"/>
        <w:rPr>
          <w:rFonts w:ascii="Graphik Regular" w:eastAsia="Calibri" w:hAnsi="Graphik Regular" w:cs="Times New Roman"/>
          <w:b/>
          <w:color w:val="595957"/>
          <w:sz w:val="24"/>
          <w:lang w:val="en-US"/>
        </w:rPr>
      </w:pPr>
      <w:bookmarkStart w:id="12" w:name="_Toc492653445"/>
      <w:r w:rsidRPr="00E904BD">
        <w:rPr>
          <w:rFonts w:ascii="Graphik Regular" w:eastAsia="Graphik Regular" w:hAnsi="Graphik Regular" w:cs="Times New Roman"/>
          <w:b/>
          <w:bCs/>
          <w:color w:val="595957"/>
          <w:sz w:val="24"/>
          <w:szCs w:val="24"/>
          <w:lang w:val="en-US"/>
        </w:rPr>
        <w:t xml:space="preserve">Free Trade Zone </w:t>
      </w:r>
      <w:bookmarkEnd w:id="12"/>
      <w:r w:rsidRPr="00E904BD">
        <w:rPr>
          <w:rFonts w:ascii="Graphik Regular" w:eastAsia="Graphik Regular" w:hAnsi="Graphik Regular" w:cs="Times New Roman"/>
          <w:b/>
          <w:bCs/>
          <w:color w:val="595957"/>
          <w:sz w:val="24"/>
          <w:szCs w:val="24"/>
          <w:lang w:val="en-US"/>
        </w:rPr>
        <w:t>Operators</w:t>
      </w:r>
    </w:p>
    <w:p w14:paraId="58DC0F8A" w14:textId="77777777" w:rsidR="00E904BD" w:rsidRPr="00E904BD" w:rsidRDefault="00E904BD" w:rsidP="00E904BD">
      <w:pPr>
        <w:spacing w:after="260" w:line="360" w:lineRule="auto"/>
        <w:ind w:left="360"/>
        <w:jc w:val="both"/>
        <w:rPr>
          <w:rFonts w:ascii="Graphik Regular" w:eastAsia="Calibri" w:hAnsi="Graphik Regular" w:cs="Calibri"/>
          <w:color w:val="595957"/>
          <w:sz w:val="19"/>
          <w:lang w:val="en-US"/>
        </w:rPr>
      </w:pPr>
      <w:r w:rsidRPr="00E904BD">
        <w:rPr>
          <w:rFonts w:ascii="Graphik Regular" w:eastAsia="Graphik Regular" w:hAnsi="Graphik Regular" w:cs="Times New Roman"/>
          <w:color w:val="595957"/>
          <w:sz w:val="19"/>
          <w:szCs w:val="19"/>
          <w:lang w:val="en-US"/>
        </w:rPr>
        <w:t>An operator is the individual or legal entity that provides the necessary and sufficient infrastructure for the establishment and operation of a free trade zone. Free trade zones may be operated by the State or by duly authorized private individuals. Private free trade zones are administered by individuals and authorized by the Ministry of Economy and Finance, which supervises and controls them through the Free Trade Zone Area of the General Directorate of Commerce</w:t>
      </w:r>
      <w:r w:rsidRPr="00E904BD">
        <w:rPr>
          <w:rFonts w:ascii="Graphik Regular" w:eastAsia="Calibri" w:hAnsi="Graphik Regular" w:cs="Times New Roman"/>
          <w:color w:val="595957"/>
          <w:sz w:val="19"/>
          <w:vertAlign w:val="superscript"/>
          <w:lang w:val="en-US"/>
        </w:rPr>
        <w:footnoteReference w:id="10"/>
      </w:r>
      <w:r w:rsidRPr="00E904BD">
        <w:rPr>
          <w:rFonts w:ascii="Graphik Regular" w:eastAsia="Graphik Regular" w:hAnsi="Graphik Regular" w:cs="Times New Roman"/>
          <w:color w:val="595957"/>
          <w:sz w:val="19"/>
          <w:szCs w:val="19"/>
          <w:lang w:val="en-US"/>
        </w:rPr>
        <w:t>.</w:t>
      </w:r>
      <w:r w:rsidRPr="00E904BD">
        <w:rPr>
          <w:rFonts w:ascii="Graphik Regular" w:eastAsia="Graphik Regular" w:hAnsi="Graphik Regular" w:cs="Calibri"/>
          <w:color w:val="595957"/>
          <w:sz w:val="19"/>
          <w:szCs w:val="19"/>
          <w:lang w:val="en-US"/>
        </w:rPr>
        <w:t xml:space="preserve"> For the installation of a free trade zone in Uruguay, a governmental resolution is required, detailing information such as: period of authorization of operation, area occupied by the free trade zone, minimum investment to be made by the operator(s) and the fee to be paid by the operator(s), among others.</w:t>
      </w:r>
    </w:p>
    <w:p w14:paraId="0D4D0757" w14:textId="77777777" w:rsidR="00E904BD" w:rsidRPr="00E904BD" w:rsidRDefault="00E904BD" w:rsidP="00E904BD">
      <w:pPr>
        <w:spacing w:after="260" w:line="360" w:lineRule="auto"/>
        <w:ind w:left="360"/>
        <w:jc w:val="both"/>
        <w:rPr>
          <w:rFonts w:ascii="Graphik Regular" w:eastAsia="Calibri" w:hAnsi="Graphik Regular" w:cs="Calibri"/>
          <w:color w:val="595957"/>
          <w:sz w:val="19"/>
          <w:lang w:val="en-US"/>
        </w:rPr>
      </w:pPr>
      <w:r w:rsidRPr="00E904BD">
        <w:rPr>
          <w:rFonts w:ascii="Graphik Regular" w:eastAsia="Graphik Regular" w:hAnsi="Graphik Regular" w:cs="Calibri"/>
          <w:color w:val="595957"/>
          <w:sz w:val="19"/>
          <w:szCs w:val="19"/>
          <w:lang w:val="en-US"/>
        </w:rPr>
        <w:t>They can take advantage of the benefits of the Investment Law.</w:t>
      </w:r>
    </w:p>
    <w:p w14:paraId="5F1F3ECA" w14:textId="77777777" w:rsidR="00E904BD" w:rsidRPr="00E904BD" w:rsidRDefault="00E904BD" w:rsidP="00E904BD">
      <w:pPr>
        <w:numPr>
          <w:ilvl w:val="0"/>
          <w:numId w:val="3"/>
        </w:numPr>
        <w:spacing w:before="240" w:after="260" w:line="276" w:lineRule="auto"/>
        <w:contextualSpacing/>
        <w:jc w:val="both"/>
        <w:rPr>
          <w:rFonts w:ascii="Graphik Regular" w:eastAsia="Calibri" w:hAnsi="Graphik Regular" w:cs="Times New Roman"/>
          <w:b/>
          <w:color w:val="595957"/>
          <w:sz w:val="24"/>
          <w:lang w:val="en-US"/>
        </w:rPr>
      </w:pPr>
      <w:bookmarkStart w:id="13" w:name="_Toc492653444"/>
      <w:r w:rsidRPr="00E904BD">
        <w:rPr>
          <w:rFonts w:ascii="Graphik Regular" w:eastAsia="Graphik Regular" w:hAnsi="Graphik Regular" w:cs="Times New Roman"/>
          <w:b/>
          <w:bCs/>
          <w:color w:val="595957"/>
          <w:sz w:val="24"/>
          <w:szCs w:val="24"/>
          <w:lang w:val="en-US"/>
        </w:rPr>
        <w:t xml:space="preserve">Free Trade Zone </w:t>
      </w:r>
      <w:bookmarkEnd w:id="13"/>
      <w:r w:rsidRPr="00E904BD">
        <w:rPr>
          <w:rFonts w:ascii="Graphik Regular" w:eastAsia="Graphik Regular" w:hAnsi="Graphik Regular" w:cs="Times New Roman"/>
          <w:b/>
          <w:bCs/>
          <w:color w:val="595957"/>
          <w:sz w:val="24"/>
          <w:szCs w:val="24"/>
          <w:lang w:val="en-US"/>
        </w:rPr>
        <w:t>Users</w:t>
      </w:r>
    </w:p>
    <w:p w14:paraId="4CB8AF56" w14:textId="77777777" w:rsidR="00E904BD" w:rsidRPr="00E904BD" w:rsidRDefault="00E904BD" w:rsidP="00E904BD">
      <w:pPr>
        <w:spacing w:after="260" w:line="360" w:lineRule="auto"/>
        <w:ind w:left="360"/>
        <w:jc w:val="both"/>
        <w:rPr>
          <w:rFonts w:ascii="Graphik Regular" w:eastAsia="Calibri" w:hAnsi="Graphik Regular" w:cs="Times New Roman"/>
          <w:color w:val="595957"/>
          <w:sz w:val="19"/>
          <w:lang w:val="en-US"/>
        </w:rPr>
      </w:pPr>
      <w:r w:rsidRPr="00E904BD">
        <w:rPr>
          <w:rFonts w:ascii="Graphik Regular" w:eastAsia="Graphik Regular" w:hAnsi="Graphik Regular" w:cs="Times New Roman"/>
          <w:color w:val="595957"/>
          <w:sz w:val="19"/>
          <w:szCs w:val="19"/>
          <w:lang w:val="en-US"/>
        </w:rPr>
        <w:lastRenderedPageBreak/>
        <w:t>The direct user is the one who contracts with the operator in exchange for a price freely agreed with the latter and is granted the right to operate in a free trade zone.</w:t>
      </w:r>
    </w:p>
    <w:p w14:paraId="642B5BEB" w14:textId="77777777" w:rsidR="00E904BD" w:rsidRPr="00E904BD" w:rsidRDefault="00E904BD" w:rsidP="00E904BD">
      <w:pPr>
        <w:spacing w:after="260" w:line="360" w:lineRule="auto"/>
        <w:ind w:left="360"/>
        <w:jc w:val="both"/>
        <w:rPr>
          <w:rFonts w:ascii="Graphik Regular" w:eastAsia="Calibri" w:hAnsi="Graphik Regular" w:cs="Times New Roman"/>
          <w:color w:val="595957"/>
          <w:sz w:val="19"/>
          <w:lang w:val="en-US"/>
        </w:rPr>
      </w:pPr>
      <w:r w:rsidRPr="00E904BD">
        <w:rPr>
          <w:rFonts w:ascii="Graphik Regular" w:eastAsia="Graphik Regular" w:hAnsi="Graphik Regular" w:cs="Times New Roman"/>
          <w:color w:val="595957"/>
          <w:sz w:val="19"/>
          <w:szCs w:val="19"/>
          <w:lang w:val="en-US"/>
        </w:rPr>
        <w:t xml:space="preserve">The indirect user is the one who contracts, no longer with the operator, but with the direct user in exchange for a price agreed by the latter, obtaining as consideration the right to operate in the free trade zone, using its facilities, for instance, making use of its warehouses. </w:t>
      </w:r>
    </w:p>
    <w:p w14:paraId="6E7232DD" w14:textId="77777777" w:rsidR="00E904BD" w:rsidRPr="00E904BD" w:rsidRDefault="00E904BD" w:rsidP="00E904BD">
      <w:pPr>
        <w:spacing w:after="260" w:line="360" w:lineRule="auto"/>
        <w:ind w:left="360"/>
        <w:jc w:val="both"/>
        <w:rPr>
          <w:rFonts w:ascii="Graphik Regular" w:eastAsia="Calibri" w:hAnsi="Graphik Regular" w:cs="Times New Roman"/>
          <w:color w:val="595957"/>
          <w:sz w:val="19"/>
          <w:lang w:val="en-US"/>
        </w:rPr>
      </w:pPr>
      <w:r w:rsidRPr="00E904BD">
        <w:rPr>
          <w:rFonts w:ascii="Graphik Regular" w:eastAsia="Graphik Regular" w:hAnsi="Graphik Regular" w:cs="Times New Roman"/>
          <w:color w:val="595957"/>
          <w:sz w:val="19"/>
          <w:szCs w:val="19"/>
          <w:lang w:val="en-US"/>
        </w:rPr>
        <w:t xml:space="preserve">Free trade zones are conceived so that companies that want to take advantage of the benefits of being users </w:t>
      </w:r>
      <w:r w:rsidRPr="00E904BD">
        <w:rPr>
          <w:rFonts w:ascii="Graphik Regular" w:eastAsia="Graphik Regular" w:hAnsi="Graphik Regular" w:cs="Calibri"/>
          <w:color w:val="595957"/>
          <w:sz w:val="19"/>
          <w:szCs w:val="19"/>
          <w:lang w:val="en-US"/>
        </w:rPr>
        <w:t>can develop any type of export-oriented activity</w:t>
      </w:r>
      <w:r w:rsidRPr="00E904BD">
        <w:rPr>
          <w:rFonts w:ascii="Graphik Regular" w:eastAsia="Graphik Regular" w:hAnsi="Graphik Regular" w:cs="Times New Roman"/>
          <w:color w:val="595957"/>
          <w:sz w:val="19"/>
          <w:szCs w:val="19"/>
          <w:lang w:val="en-US"/>
        </w:rPr>
        <w:t>, such as:</w:t>
      </w:r>
    </w:p>
    <w:p w14:paraId="2E164917" w14:textId="77777777" w:rsidR="00E904BD" w:rsidRPr="00E904BD" w:rsidRDefault="00E904BD" w:rsidP="00E904BD">
      <w:pPr>
        <w:numPr>
          <w:ilvl w:val="0"/>
          <w:numId w:val="4"/>
        </w:numPr>
        <w:spacing w:after="260" w:line="360" w:lineRule="auto"/>
        <w:contextualSpacing/>
        <w:jc w:val="both"/>
        <w:rPr>
          <w:rFonts w:ascii="Graphik Regular" w:eastAsia="Calibri" w:hAnsi="Graphik Regular" w:cs="Times New Roman"/>
          <w:color w:val="595957"/>
          <w:sz w:val="19"/>
          <w:lang w:val="en-US"/>
        </w:rPr>
      </w:pPr>
      <w:r w:rsidRPr="00E904BD">
        <w:rPr>
          <w:rFonts w:ascii="Graphik Regular" w:eastAsia="Graphik Regular" w:hAnsi="Graphik Regular" w:cs="Times New Roman"/>
          <w:color w:val="595957"/>
          <w:sz w:val="19"/>
          <w:szCs w:val="19"/>
          <w:lang w:val="en-US"/>
        </w:rPr>
        <w:t>Commercialization, storage, conditioning, classification, fractioning, mixing, assembling, disassembling and other operations not implying the industrialization of goods and raw materials.</w:t>
      </w:r>
    </w:p>
    <w:p w14:paraId="27FEB420" w14:textId="77777777" w:rsidR="00E904BD" w:rsidRPr="00E904BD" w:rsidRDefault="00E904BD" w:rsidP="00E904BD">
      <w:pPr>
        <w:numPr>
          <w:ilvl w:val="0"/>
          <w:numId w:val="4"/>
        </w:numPr>
        <w:spacing w:after="260" w:line="360" w:lineRule="auto"/>
        <w:contextualSpacing/>
        <w:jc w:val="both"/>
        <w:rPr>
          <w:rFonts w:ascii="Graphik Regular" w:eastAsia="Calibri" w:hAnsi="Graphik Regular" w:cs="Times New Roman"/>
          <w:color w:val="595957"/>
          <w:sz w:val="19"/>
          <w:lang w:val="en-US"/>
        </w:rPr>
      </w:pPr>
      <w:r w:rsidRPr="00E904BD">
        <w:rPr>
          <w:rFonts w:ascii="Graphik Regular" w:eastAsia="Graphik Regular" w:hAnsi="Graphik Regular" w:cs="Times New Roman"/>
          <w:color w:val="595957"/>
          <w:sz w:val="19"/>
          <w:szCs w:val="19"/>
          <w:lang w:val="en-US"/>
        </w:rPr>
        <w:t>Installation and operation of manufacturing facilities.</w:t>
      </w:r>
    </w:p>
    <w:p w14:paraId="7150EF03" w14:textId="77777777" w:rsidR="00E904BD" w:rsidRPr="00E904BD" w:rsidRDefault="00E904BD" w:rsidP="00E904BD">
      <w:pPr>
        <w:numPr>
          <w:ilvl w:val="0"/>
          <w:numId w:val="4"/>
        </w:numPr>
        <w:spacing w:after="260" w:line="360" w:lineRule="auto"/>
        <w:contextualSpacing/>
        <w:jc w:val="both"/>
        <w:rPr>
          <w:rFonts w:ascii="Graphik Regular" w:eastAsia="Calibri" w:hAnsi="Graphik Regular" w:cs="Times New Roman"/>
          <w:color w:val="595957"/>
          <w:sz w:val="19"/>
          <w:lang w:val="en-US"/>
        </w:rPr>
      </w:pPr>
      <w:r w:rsidRPr="00E904BD">
        <w:rPr>
          <w:rFonts w:ascii="Graphik Regular" w:eastAsia="Graphik Regular" w:hAnsi="Graphik Regular" w:cs="Times New Roman"/>
          <w:color w:val="595957"/>
          <w:sz w:val="19"/>
          <w:szCs w:val="19"/>
          <w:lang w:val="en-US"/>
        </w:rPr>
        <w:t>Rendering of all kinds of services, including professional, financial, computer, repair, and maintenance services.</w:t>
      </w:r>
    </w:p>
    <w:p w14:paraId="48EE398E" w14:textId="77777777" w:rsidR="00E904BD" w:rsidRPr="00E904BD" w:rsidRDefault="00E904BD" w:rsidP="00E904BD">
      <w:pPr>
        <w:autoSpaceDE w:val="0"/>
        <w:autoSpaceDN w:val="0"/>
        <w:adjustRightInd w:val="0"/>
        <w:spacing w:after="0" w:line="276" w:lineRule="auto"/>
        <w:jc w:val="both"/>
        <w:rPr>
          <w:rFonts w:ascii="Graphik Regular" w:eastAsia="Calibri" w:hAnsi="Graphik Regular" w:cs="ArialNarrow"/>
          <w:color w:val="000000"/>
          <w:sz w:val="19"/>
          <w:lang w:val="en-US"/>
        </w:rPr>
      </w:pPr>
    </w:p>
    <w:p w14:paraId="7622D2FA" w14:textId="77777777" w:rsidR="00E904BD" w:rsidRPr="00E904BD" w:rsidRDefault="00E904BD" w:rsidP="00E904BD">
      <w:pPr>
        <w:spacing w:after="260" w:line="360" w:lineRule="auto"/>
        <w:jc w:val="both"/>
        <w:rPr>
          <w:rFonts w:ascii="Graphik Regular" w:eastAsia="Calibri" w:hAnsi="Graphik Regular" w:cs="Times New Roman"/>
          <w:color w:val="595957"/>
          <w:sz w:val="19"/>
          <w:lang w:val="en-US"/>
        </w:rPr>
      </w:pPr>
      <w:r w:rsidRPr="00E904BD">
        <w:rPr>
          <w:rFonts w:ascii="Graphik Regular" w:eastAsia="Graphik Regular" w:hAnsi="Graphik Regular" w:cs="Times New Roman"/>
          <w:color w:val="595957"/>
          <w:sz w:val="19"/>
          <w:szCs w:val="19"/>
          <w:lang w:val="en-US"/>
        </w:rPr>
        <w:t>The following are limitations to this broad range of activities:</w:t>
      </w:r>
    </w:p>
    <w:p w14:paraId="3104AB38" w14:textId="77777777" w:rsidR="00E904BD" w:rsidRPr="00E904BD" w:rsidRDefault="00E904BD" w:rsidP="00E904BD">
      <w:pPr>
        <w:spacing w:after="260" w:line="360" w:lineRule="auto"/>
        <w:jc w:val="both"/>
        <w:rPr>
          <w:rFonts w:ascii="Graphik Regular" w:eastAsia="Calibri" w:hAnsi="Graphik Regular" w:cs="Times New Roman"/>
          <w:color w:val="595957"/>
          <w:sz w:val="19"/>
          <w:lang w:val="en-US"/>
        </w:rPr>
      </w:pPr>
      <w:r w:rsidRPr="00E904BD">
        <w:rPr>
          <w:rFonts w:ascii="Graphik Regular" w:eastAsia="Graphik Regular" w:hAnsi="Graphik Regular" w:cs="Times New Roman"/>
          <w:color w:val="595957"/>
          <w:sz w:val="19"/>
          <w:szCs w:val="19"/>
          <w:lang w:val="en-US"/>
        </w:rPr>
        <w:t>No primary activities (agricultural, extractive, etc.), retail sales or free entry to the non-free territory of goods deposited or industrialized in the free trade zone shall be permitted.</w:t>
      </w:r>
    </w:p>
    <w:p w14:paraId="1B295A7D" w14:textId="77777777" w:rsidR="00E904BD" w:rsidRPr="00E904BD" w:rsidRDefault="00E904BD" w:rsidP="00E904BD">
      <w:pPr>
        <w:spacing w:after="260" w:line="360" w:lineRule="auto"/>
        <w:jc w:val="both"/>
        <w:rPr>
          <w:rFonts w:ascii="Graphik Regular" w:eastAsia="Calibri" w:hAnsi="Graphik Regular" w:cs="Times New Roman"/>
          <w:color w:val="595957"/>
          <w:sz w:val="19"/>
          <w:lang w:val="en-US"/>
        </w:rPr>
      </w:pPr>
      <w:r w:rsidRPr="00E904BD">
        <w:rPr>
          <w:rFonts w:ascii="Graphik Regular" w:eastAsia="Graphik Regular" w:hAnsi="Graphik Regular" w:cs="Times New Roman"/>
          <w:color w:val="595957"/>
          <w:sz w:val="19"/>
          <w:szCs w:val="19"/>
          <w:lang w:val="en-US"/>
        </w:rPr>
        <w:t xml:space="preserve">Sales from the rest of the country to the free trade zones are considered exports from Uruguay and sales from the free trade zones to the rest of the Uruguayan territory are considered imports, subject to the corresponding customs duties and domestic taxes. </w:t>
      </w:r>
    </w:p>
    <w:p w14:paraId="1C812A67" w14:textId="77777777" w:rsidR="00E904BD" w:rsidRPr="00E904BD" w:rsidRDefault="00E904BD" w:rsidP="00E904BD">
      <w:pPr>
        <w:spacing w:after="260" w:line="360" w:lineRule="auto"/>
        <w:jc w:val="both"/>
        <w:rPr>
          <w:rFonts w:ascii="Graphik Regular" w:eastAsia="Calibri" w:hAnsi="Graphik Regular" w:cs="Times New Roman"/>
          <w:color w:val="595957"/>
          <w:sz w:val="19"/>
          <w:lang w:val="en-US"/>
        </w:rPr>
      </w:pPr>
      <w:r w:rsidRPr="00E904BD">
        <w:rPr>
          <w:rFonts w:ascii="Graphik Regular" w:eastAsia="Graphik Regular" w:hAnsi="Graphik Regular" w:cs="Times New Roman"/>
          <w:color w:val="595957"/>
          <w:sz w:val="19"/>
          <w:szCs w:val="19"/>
          <w:lang w:val="en-US"/>
        </w:rPr>
        <w:t>Sales from free trade zones to Mercosur are subject to the bloc's Common External Tariff (CET), which applies to goods from third countries. This is because goods from free trade zones do not have preferential access, according to Decision N</w:t>
      </w:r>
      <w:r w:rsidRPr="00E904BD">
        <w:rPr>
          <w:rFonts w:ascii="Graphik Regular" w:eastAsia="Calibri" w:hAnsi="Graphik Regular" w:cs="Times New Roman"/>
          <w:color w:val="595957"/>
          <w:sz w:val="19"/>
          <w:lang w:val="en-US"/>
        </w:rPr>
        <w:t>º</w:t>
      </w:r>
      <w:r w:rsidRPr="00E904BD">
        <w:rPr>
          <w:rFonts w:ascii="Graphik Regular" w:eastAsia="Graphik Regular" w:hAnsi="Graphik Regular" w:cs="Times New Roman"/>
          <w:color w:val="595957"/>
          <w:sz w:val="19"/>
          <w:szCs w:val="19"/>
          <w:lang w:val="en-US"/>
        </w:rPr>
        <w:t xml:space="preserve"> 8/994 of the Common Market Council. Uruguay has agreements with Argentina and Brazil for certain products from the free trade zones of Colonia and Nueva Palmira (including goods produced by PepsiCo, wheat, barley, barley malt, and soybeans)</w:t>
      </w:r>
      <w:r w:rsidRPr="00E904BD">
        <w:rPr>
          <w:rFonts w:ascii="Graphik Regular" w:eastAsia="Calibri" w:hAnsi="Graphik Regular" w:cs="Times New Roman"/>
          <w:color w:val="595957"/>
          <w:sz w:val="19"/>
          <w:vertAlign w:val="superscript"/>
          <w:lang w:val="en-US"/>
        </w:rPr>
        <w:footnoteReference w:id="11"/>
      </w:r>
      <w:r w:rsidRPr="00E904BD">
        <w:rPr>
          <w:rFonts w:ascii="Graphik Regular" w:eastAsia="Graphik Regular" w:hAnsi="Graphik Regular" w:cs="Times New Roman"/>
          <w:color w:val="595957"/>
          <w:sz w:val="19"/>
          <w:szCs w:val="19"/>
          <w:lang w:val="en-US"/>
        </w:rPr>
        <w:t xml:space="preserve">. Sales from free trade zones are also included in trade agreements with Chile, Israel, Mexico, India, Ecuador, Venezuela, and Colombia. </w:t>
      </w:r>
    </w:p>
    <w:p w14:paraId="224485B7" w14:textId="77777777" w:rsidR="00E904BD" w:rsidRPr="00E904BD" w:rsidRDefault="00E904BD" w:rsidP="00E904BD">
      <w:pPr>
        <w:spacing w:after="260" w:line="360" w:lineRule="auto"/>
        <w:jc w:val="both"/>
        <w:rPr>
          <w:rFonts w:ascii="Graphik Regular" w:eastAsia="Calibri" w:hAnsi="Graphik Regular" w:cs="Times New Roman"/>
          <w:color w:val="595957"/>
          <w:sz w:val="19"/>
          <w:lang w:val="en-US"/>
        </w:rPr>
      </w:pPr>
      <w:r w:rsidRPr="00E904BD">
        <w:rPr>
          <w:rFonts w:ascii="Graphik Regular" w:eastAsia="Graphik Regular" w:hAnsi="Graphik Regular" w:cs="Times New Roman"/>
          <w:color w:val="595957"/>
          <w:sz w:val="19"/>
          <w:szCs w:val="19"/>
          <w:lang w:val="en-US"/>
        </w:rPr>
        <w:lastRenderedPageBreak/>
        <w:t>Free trade zone users may also provide services within the rest of the national territory</w:t>
      </w:r>
      <w:r w:rsidRPr="00E904BD">
        <w:rPr>
          <w:rFonts w:ascii="Graphik Regular" w:eastAsia="Calibri" w:hAnsi="Graphik Regular" w:cs="Times New Roman"/>
          <w:color w:val="595957"/>
          <w:sz w:val="19"/>
          <w:vertAlign w:val="superscript"/>
          <w:lang w:val="en-US"/>
        </w:rPr>
        <w:footnoteReference w:id="12"/>
      </w:r>
      <w:r w:rsidRPr="00E904BD">
        <w:rPr>
          <w:rFonts w:ascii="Graphik Regular" w:eastAsia="Graphik Regular" w:hAnsi="Graphik Regular" w:cs="Times New Roman"/>
          <w:color w:val="595957"/>
          <w:sz w:val="19"/>
          <w:szCs w:val="19"/>
          <w:lang w:val="en-US"/>
        </w:rPr>
        <w:t xml:space="preserve"> to companies that are IRAE taxpayers and other types of services such as call centers, mailboxes, among others</w:t>
      </w:r>
      <w:r w:rsidRPr="00E904BD">
        <w:rPr>
          <w:rFonts w:ascii="Graphik Regular" w:eastAsia="Calibri" w:hAnsi="Graphik Regular" w:cs="Times New Roman"/>
          <w:color w:val="595957"/>
          <w:sz w:val="19"/>
          <w:vertAlign w:val="superscript"/>
          <w:lang w:val="en-US"/>
        </w:rPr>
        <w:footnoteReference w:id="13"/>
      </w:r>
      <w:r w:rsidRPr="00E904BD">
        <w:rPr>
          <w:rFonts w:ascii="Graphik Regular" w:eastAsia="Graphik Regular" w:hAnsi="Graphik Regular" w:cs="Times New Roman"/>
          <w:color w:val="595957"/>
          <w:sz w:val="19"/>
          <w:szCs w:val="19"/>
          <w:lang w:val="en-US"/>
        </w:rPr>
        <w:t>.</w:t>
      </w:r>
    </w:p>
    <w:p w14:paraId="39CA7E38" w14:textId="77777777" w:rsidR="00E904BD" w:rsidRPr="00E904BD" w:rsidRDefault="00E904BD" w:rsidP="00E904BD">
      <w:pPr>
        <w:spacing w:after="260" w:line="360" w:lineRule="auto"/>
        <w:jc w:val="both"/>
        <w:rPr>
          <w:rFonts w:ascii="Graphik Regular" w:eastAsia="Calibri" w:hAnsi="Graphik Regular" w:cs="Times New Roman"/>
          <w:color w:val="595957"/>
          <w:sz w:val="19"/>
          <w:lang w:val="en-US"/>
        </w:rPr>
      </w:pPr>
      <w:r w:rsidRPr="00E904BD">
        <w:rPr>
          <w:rFonts w:ascii="Graphik Regular" w:eastAsia="Graphik Regular" w:hAnsi="Graphik Regular" w:cs="Times New Roman"/>
          <w:color w:val="595957"/>
          <w:sz w:val="19"/>
          <w:szCs w:val="19"/>
          <w:lang w:val="en-US"/>
        </w:rPr>
        <w:t>It is possible to buy and sell goods that enter the free trade zone with origin and destination in the national territory.</w:t>
      </w:r>
    </w:p>
    <w:p w14:paraId="285901C9" w14:textId="77777777" w:rsidR="00E904BD" w:rsidRPr="00E904BD" w:rsidRDefault="00E904BD" w:rsidP="00E904BD">
      <w:pPr>
        <w:spacing w:after="260" w:line="360" w:lineRule="auto"/>
        <w:jc w:val="both"/>
        <w:rPr>
          <w:rFonts w:ascii="Graphik Regular" w:eastAsia="Times New Roman" w:hAnsi="Graphik Regular" w:cs="Times New Roman"/>
          <w:color w:val="595957"/>
          <w:sz w:val="19"/>
          <w:lang w:val="en-US" w:eastAsia="es-MX"/>
        </w:rPr>
      </w:pPr>
      <w:r w:rsidRPr="00E904BD">
        <w:rPr>
          <w:rFonts w:ascii="Graphik Regular" w:eastAsia="Graphik Regular" w:hAnsi="Graphik Regular" w:cs="Times New Roman"/>
          <w:color w:val="595957"/>
          <w:sz w:val="19"/>
          <w:szCs w:val="19"/>
          <w:lang w:val="en-US"/>
        </w:rPr>
        <w:t>The main activity of the free trade zone user must be developed in the free trade zone. Notwithstanding the foregoing, the law authorizes the collection of delinquent accounts receivable through third parties and exhibition of goods in non-free trade zone territory, in this case, only for companies with possible location disadvantages.</w:t>
      </w:r>
    </w:p>
    <w:p w14:paraId="79A654E2" w14:textId="77777777" w:rsidR="00E904BD" w:rsidRPr="00E904BD" w:rsidRDefault="00E904BD" w:rsidP="00E904BD">
      <w:pPr>
        <w:spacing w:after="260" w:line="360" w:lineRule="auto"/>
        <w:jc w:val="both"/>
        <w:rPr>
          <w:rFonts w:ascii="Graphik Regular" w:eastAsia="Calibri" w:hAnsi="Graphik Regular" w:cs="Times New Roman"/>
          <w:color w:val="595957"/>
          <w:sz w:val="19"/>
          <w:lang w:val="en-US" w:eastAsia="es-MX"/>
        </w:rPr>
      </w:pPr>
      <w:r w:rsidRPr="00E904BD">
        <w:rPr>
          <w:rFonts w:ascii="Graphik Regular" w:eastAsia="Graphik Regular" w:hAnsi="Graphik Regular" w:cs="Times New Roman"/>
          <w:color w:val="595957"/>
          <w:sz w:val="19"/>
          <w:szCs w:val="19"/>
          <w:lang w:val="en-US" w:eastAsia="es-MX"/>
        </w:rPr>
        <w:t xml:space="preserve">With the authorization of the Executive Power, the development of complementary activities to the non-free trade territory is permitted. Likewise, it is contemplated that the users of free trade zones outside the metropolitan area may develop activities outside the same, in administrative offices provided by free trade zone developers, </w:t>
      </w:r>
      <w:proofErr w:type="gramStart"/>
      <w:r w:rsidRPr="00E904BD">
        <w:rPr>
          <w:rFonts w:ascii="Graphik Regular" w:eastAsia="Graphik Regular" w:hAnsi="Graphik Regular" w:cs="Times New Roman"/>
          <w:color w:val="595957"/>
          <w:sz w:val="19"/>
          <w:szCs w:val="19"/>
          <w:lang w:val="en-US" w:eastAsia="es-MX"/>
        </w:rPr>
        <w:t>as long as</w:t>
      </w:r>
      <w:proofErr w:type="gramEnd"/>
      <w:r w:rsidRPr="00E904BD">
        <w:rPr>
          <w:rFonts w:ascii="Graphik Regular" w:eastAsia="Graphik Regular" w:hAnsi="Graphik Regular" w:cs="Times New Roman"/>
          <w:color w:val="595957"/>
          <w:sz w:val="19"/>
          <w:szCs w:val="19"/>
          <w:lang w:val="en-US" w:eastAsia="es-MX"/>
        </w:rPr>
        <w:t xml:space="preserve"> these are complementary</w:t>
      </w:r>
      <w:r w:rsidRPr="00E904BD">
        <w:rPr>
          <w:rFonts w:ascii="Graphik Regular" w:eastAsia="Times New Roman" w:hAnsi="Graphik Regular" w:cs="Calibri"/>
          <w:color w:val="595957"/>
          <w:sz w:val="19"/>
          <w:vertAlign w:val="superscript"/>
          <w:lang w:val="en-US" w:eastAsia="es-MX"/>
        </w:rPr>
        <w:footnoteReference w:id="14"/>
      </w:r>
      <w:r w:rsidRPr="00E904BD">
        <w:rPr>
          <w:rFonts w:ascii="Graphik Regular" w:eastAsia="Graphik Regular" w:hAnsi="Graphik Regular" w:cs="Times New Roman"/>
          <w:color w:val="595957"/>
          <w:sz w:val="19"/>
          <w:szCs w:val="19"/>
          <w:lang w:val="en-US" w:eastAsia="es-MX"/>
        </w:rPr>
        <w:t xml:space="preserve"> in nature to the main activity.</w:t>
      </w:r>
    </w:p>
    <w:p w14:paraId="7D134C46" w14:textId="77777777" w:rsidR="00E904BD" w:rsidRPr="00E904BD" w:rsidRDefault="00E904BD" w:rsidP="00E904BD">
      <w:pPr>
        <w:spacing w:after="260" w:line="276" w:lineRule="auto"/>
        <w:jc w:val="both"/>
        <w:rPr>
          <w:rFonts w:ascii="Graphik Regular" w:eastAsia="Calibri" w:hAnsi="Graphik Regular" w:cs="Calibri"/>
          <w:color w:val="595957"/>
          <w:sz w:val="19"/>
          <w:lang w:val="en-US"/>
        </w:rPr>
      </w:pPr>
      <w:r w:rsidRPr="00E904BD">
        <w:rPr>
          <w:rFonts w:ascii="Graphik Regular" w:eastAsia="Graphik Regular" w:hAnsi="Graphik Regular" w:cs="Calibri"/>
          <w:color w:val="595957"/>
          <w:sz w:val="19"/>
          <w:szCs w:val="19"/>
          <w:lang w:val="en-US"/>
        </w:rPr>
        <w:t>The activities of free trade zone users are exempt from all domestic taxes, created or to be created; in particular, they have the following benefits:</w:t>
      </w:r>
    </w:p>
    <w:p w14:paraId="6862021A" w14:textId="77777777" w:rsidR="00E904BD" w:rsidRPr="00E904BD" w:rsidRDefault="00E904BD" w:rsidP="00E904BD">
      <w:pPr>
        <w:numPr>
          <w:ilvl w:val="0"/>
          <w:numId w:val="5"/>
        </w:numPr>
        <w:tabs>
          <w:tab w:val="left" w:pos="142"/>
          <w:tab w:val="left" w:pos="284"/>
        </w:tabs>
        <w:spacing w:after="260" w:line="276" w:lineRule="auto"/>
        <w:jc w:val="both"/>
        <w:rPr>
          <w:rFonts w:ascii="Graphik Regular" w:eastAsia="Calibri" w:hAnsi="Graphik Regular" w:cs="Calibri"/>
          <w:color w:val="595957"/>
          <w:sz w:val="19"/>
          <w:lang w:val="en-US"/>
        </w:rPr>
      </w:pPr>
      <w:r w:rsidRPr="00E904BD">
        <w:rPr>
          <w:rFonts w:ascii="Graphik Regular" w:eastAsia="Graphik Regular" w:hAnsi="Graphik Regular" w:cs="Calibri"/>
          <w:color w:val="595957"/>
          <w:sz w:val="19"/>
          <w:szCs w:val="19"/>
          <w:lang w:val="en-US"/>
        </w:rPr>
        <w:t xml:space="preserve">Exemption from Income Tax on Economic Activities (IRAE), Wealth Tax (IP), and any other domestic tax. </w:t>
      </w:r>
    </w:p>
    <w:p w14:paraId="12F79636" w14:textId="77777777" w:rsidR="00E904BD" w:rsidRPr="00E904BD" w:rsidRDefault="00E904BD" w:rsidP="00E904BD">
      <w:pPr>
        <w:numPr>
          <w:ilvl w:val="0"/>
          <w:numId w:val="5"/>
        </w:numPr>
        <w:tabs>
          <w:tab w:val="left" w:pos="142"/>
          <w:tab w:val="left" w:pos="284"/>
        </w:tabs>
        <w:spacing w:after="260" w:line="276" w:lineRule="auto"/>
        <w:jc w:val="both"/>
        <w:rPr>
          <w:rFonts w:ascii="Graphik Regular" w:eastAsia="Calibri" w:hAnsi="Graphik Regular" w:cs="Calibri"/>
          <w:color w:val="595957"/>
          <w:sz w:val="19"/>
          <w:lang w:val="en-US"/>
        </w:rPr>
      </w:pPr>
      <w:r w:rsidRPr="00E904BD">
        <w:rPr>
          <w:rFonts w:ascii="Graphik Regular" w:eastAsia="Graphik Regular" w:hAnsi="Graphik Regular" w:cs="Calibri"/>
          <w:color w:val="595957"/>
          <w:sz w:val="19"/>
          <w:szCs w:val="19"/>
          <w:lang w:val="en-US"/>
        </w:rPr>
        <w:t xml:space="preserve">Tax exemption for dividends paid to shareholders with residence abroad. </w:t>
      </w:r>
    </w:p>
    <w:p w14:paraId="3F4A4546" w14:textId="77777777" w:rsidR="00E904BD" w:rsidRPr="00E904BD" w:rsidRDefault="00E904BD" w:rsidP="00E904BD">
      <w:pPr>
        <w:numPr>
          <w:ilvl w:val="0"/>
          <w:numId w:val="5"/>
        </w:numPr>
        <w:tabs>
          <w:tab w:val="left" w:pos="142"/>
          <w:tab w:val="left" w:pos="284"/>
        </w:tabs>
        <w:spacing w:after="260" w:line="276" w:lineRule="auto"/>
        <w:jc w:val="both"/>
        <w:rPr>
          <w:rFonts w:ascii="Graphik Regular" w:eastAsia="Calibri" w:hAnsi="Graphik Regular" w:cs="Calibri"/>
          <w:color w:val="595957"/>
          <w:sz w:val="19"/>
          <w:lang w:val="en-US"/>
        </w:rPr>
      </w:pPr>
      <w:r w:rsidRPr="00E904BD">
        <w:rPr>
          <w:rFonts w:ascii="Graphik Regular" w:eastAsia="Graphik Regular" w:hAnsi="Graphik Regular" w:cs="Calibri"/>
          <w:color w:val="595957"/>
          <w:sz w:val="19"/>
          <w:szCs w:val="19"/>
          <w:lang w:val="en-US"/>
        </w:rPr>
        <w:t>Option for foreign staff (up to 25% of the total employed</w:t>
      </w:r>
      <w:r w:rsidRPr="00E904BD">
        <w:rPr>
          <w:rFonts w:ascii="Graphik Regular" w:eastAsia="Calibri" w:hAnsi="Graphik Regular" w:cs="Calibri"/>
          <w:color w:val="595957"/>
          <w:sz w:val="19"/>
          <w:vertAlign w:val="superscript"/>
          <w:lang w:val="en-US"/>
        </w:rPr>
        <w:footnoteReference w:id="15"/>
      </w:r>
      <w:r w:rsidRPr="00E904BD">
        <w:rPr>
          <w:rFonts w:ascii="Graphik Regular" w:eastAsia="Graphik Regular" w:hAnsi="Graphik Regular" w:cs="Calibri"/>
          <w:color w:val="595957"/>
          <w:sz w:val="19"/>
          <w:szCs w:val="19"/>
          <w:lang w:val="en-US"/>
        </w:rPr>
        <w:t>) not to pay social security contributions in Uruguay.</w:t>
      </w:r>
    </w:p>
    <w:p w14:paraId="1F5055FD" w14:textId="77777777" w:rsidR="00E904BD" w:rsidRPr="00E904BD" w:rsidRDefault="00E904BD" w:rsidP="00E904BD">
      <w:pPr>
        <w:numPr>
          <w:ilvl w:val="0"/>
          <w:numId w:val="5"/>
        </w:numPr>
        <w:tabs>
          <w:tab w:val="left" w:pos="142"/>
          <w:tab w:val="left" w:pos="284"/>
        </w:tabs>
        <w:spacing w:after="260" w:line="276" w:lineRule="auto"/>
        <w:jc w:val="both"/>
        <w:rPr>
          <w:rFonts w:ascii="Graphik Regular" w:eastAsia="Calibri" w:hAnsi="Graphik Regular" w:cs="Calibri"/>
          <w:color w:val="595957"/>
          <w:sz w:val="19"/>
          <w:lang w:val="en-US"/>
        </w:rPr>
      </w:pPr>
      <w:r w:rsidRPr="00E904BD">
        <w:rPr>
          <w:rFonts w:ascii="Graphik Regular" w:eastAsia="Graphik Regular" w:hAnsi="Graphik Regular" w:cs="Calibri"/>
          <w:color w:val="595957"/>
          <w:sz w:val="19"/>
          <w:szCs w:val="19"/>
          <w:lang w:val="en-US"/>
        </w:rPr>
        <w:t>Sales and purchases abroad of goods and services are not subject to VAT, nor are sales and services rendered within the free trade zone.</w:t>
      </w:r>
    </w:p>
    <w:p w14:paraId="67FF904B" w14:textId="77777777" w:rsidR="00E904BD" w:rsidRPr="00E904BD" w:rsidRDefault="00E904BD" w:rsidP="00E904BD">
      <w:pPr>
        <w:numPr>
          <w:ilvl w:val="0"/>
          <w:numId w:val="5"/>
        </w:numPr>
        <w:tabs>
          <w:tab w:val="left" w:pos="142"/>
          <w:tab w:val="left" w:pos="284"/>
        </w:tabs>
        <w:spacing w:after="260" w:line="276" w:lineRule="auto"/>
        <w:jc w:val="both"/>
        <w:rPr>
          <w:rFonts w:ascii="Graphik Regular" w:eastAsia="Calibri" w:hAnsi="Graphik Regular" w:cs="Calibri"/>
          <w:color w:val="595957"/>
          <w:sz w:val="19"/>
          <w:lang w:val="en-US"/>
        </w:rPr>
      </w:pPr>
      <w:r w:rsidRPr="00E904BD">
        <w:rPr>
          <w:rFonts w:ascii="Graphik Regular" w:eastAsia="Graphik Regular" w:hAnsi="Graphik Regular" w:cs="Calibri"/>
          <w:color w:val="595957"/>
          <w:sz w:val="19"/>
          <w:szCs w:val="19"/>
          <w:lang w:val="en-US"/>
        </w:rPr>
        <w:t>The goods exchanged between the free trade zones and the rest of the world are exempt from customs duties.</w:t>
      </w:r>
    </w:p>
    <w:p w14:paraId="524F6EBA" w14:textId="77777777" w:rsidR="00E904BD" w:rsidRPr="00E904BD" w:rsidRDefault="00E904BD" w:rsidP="00E904BD">
      <w:pPr>
        <w:autoSpaceDE w:val="0"/>
        <w:autoSpaceDN w:val="0"/>
        <w:adjustRightInd w:val="0"/>
        <w:spacing w:after="0" w:line="360" w:lineRule="auto"/>
        <w:jc w:val="both"/>
        <w:rPr>
          <w:rFonts w:ascii="Graphik Regular" w:eastAsia="Calibri" w:hAnsi="Graphik Regular" w:cs="Calibri"/>
          <w:color w:val="595957"/>
          <w:sz w:val="19"/>
          <w:lang w:val="en-US"/>
        </w:rPr>
      </w:pPr>
      <w:r w:rsidRPr="00E904BD">
        <w:rPr>
          <w:rFonts w:ascii="Graphik Regular" w:eastAsia="Graphik Regular" w:hAnsi="Graphik Regular" w:cs="Calibri"/>
          <w:color w:val="595957"/>
          <w:sz w:val="19"/>
          <w:szCs w:val="19"/>
          <w:lang w:val="en-US"/>
        </w:rPr>
        <w:t xml:space="preserve">The requirements to be a free trade zone user are as follows: </w:t>
      </w:r>
    </w:p>
    <w:p w14:paraId="4C57BB79" w14:textId="77777777" w:rsidR="00E904BD" w:rsidRPr="00E904BD" w:rsidRDefault="00E904BD" w:rsidP="00E904BD">
      <w:pPr>
        <w:spacing w:after="260" w:line="360" w:lineRule="auto"/>
        <w:jc w:val="both"/>
        <w:rPr>
          <w:rFonts w:ascii="Graphik Regular" w:eastAsia="Calibri" w:hAnsi="Graphik Regular" w:cs="ArialNarrow"/>
          <w:color w:val="595957"/>
          <w:sz w:val="19"/>
          <w:lang w:val="en-US"/>
        </w:rPr>
      </w:pPr>
      <w:r w:rsidRPr="00E904BD">
        <w:rPr>
          <w:rFonts w:ascii="Graphik Regular" w:eastAsia="Graphik Regular" w:hAnsi="Graphik Regular" w:cs="ArialNarrow"/>
          <w:bCs/>
          <w:color w:val="595957"/>
          <w:sz w:val="19"/>
          <w:szCs w:val="19"/>
          <w:lang w:val="en-US"/>
        </w:rPr>
        <w:lastRenderedPageBreak/>
        <w:t>Regarding contract terms, for industrial companies the maximum term for direct user contract authorizations is set at 15 years, while for service or commercial companies it is set at 10 years. For indirect users, the maximum term is five years for any type of activity. Automatic extensions are not authorized.</w:t>
      </w:r>
    </w:p>
    <w:p w14:paraId="5CBFEBFE" w14:textId="77777777" w:rsidR="00E904BD" w:rsidRPr="00E904BD" w:rsidRDefault="00E904BD" w:rsidP="00E904BD">
      <w:pPr>
        <w:numPr>
          <w:ilvl w:val="0"/>
          <w:numId w:val="3"/>
        </w:numPr>
        <w:spacing w:before="240" w:after="260" w:line="276" w:lineRule="auto"/>
        <w:contextualSpacing/>
        <w:jc w:val="both"/>
        <w:rPr>
          <w:rFonts w:ascii="Graphik Regular" w:eastAsia="Calibri" w:hAnsi="Graphik Regular" w:cs="Times New Roman"/>
          <w:b/>
          <w:color w:val="595957"/>
          <w:sz w:val="24"/>
          <w:lang w:val="en-US"/>
        </w:rPr>
      </w:pPr>
      <w:bookmarkStart w:id="14" w:name="_Toc492653446"/>
      <w:r w:rsidRPr="00E904BD">
        <w:rPr>
          <w:rFonts w:ascii="Graphik Regular" w:eastAsia="Graphik Regular" w:hAnsi="Graphik Regular" w:cs="Times New Roman"/>
          <w:b/>
          <w:bCs/>
          <w:color w:val="595957"/>
          <w:sz w:val="24"/>
          <w:szCs w:val="24"/>
          <w:lang w:val="en-US"/>
        </w:rPr>
        <w:t xml:space="preserve">Free Trade Zone </w:t>
      </w:r>
      <w:bookmarkEnd w:id="14"/>
      <w:r w:rsidRPr="00E904BD">
        <w:rPr>
          <w:rFonts w:ascii="Graphik Regular" w:eastAsia="Graphik Regular" w:hAnsi="Graphik Regular" w:cs="Times New Roman"/>
          <w:b/>
          <w:bCs/>
          <w:color w:val="595957"/>
          <w:sz w:val="24"/>
          <w:szCs w:val="24"/>
          <w:lang w:val="en-US"/>
        </w:rPr>
        <w:t>Customers</w:t>
      </w:r>
    </w:p>
    <w:p w14:paraId="49CD63B6" w14:textId="77777777" w:rsidR="00E904BD" w:rsidRPr="00E904BD" w:rsidRDefault="00E904BD" w:rsidP="00E904BD">
      <w:pPr>
        <w:spacing w:after="260" w:line="360" w:lineRule="auto"/>
        <w:jc w:val="both"/>
        <w:rPr>
          <w:rFonts w:ascii="Graphik Regular" w:eastAsia="Calibri" w:hAnsi="Graphik Regular" w:cs="Times New Roman"/>
          <w:color w:val="595957"/>
          <w:sz w:val="19"/>
          <w:lang w:val="en-US"/>
        </w:rPr>
      </w:pPr>
      <w:r w:rsidRPr="00E904BD">
        <w:rPr>
          <w:rFonts w:ascii="Graphik Regular" w:eastAsia="Graphik Regular" w:hAnsi="Graphik Regular" w:cs="Times New Roman"/>
          <w:color w:val="595957"/>
          <w:sz w:val="19"/>
          <w:szCs w:val="19"/>
          <w:lang w:val="en-US"/>
        </w:rPr>
        <w:t>In the free trade zone operation, there is also the customer or depositary, which is the one that contracts, both with the direct user and indirect user, the right to deposit certain merchandise in its warehouses.</w:t>
      </w:r>
    </w:p>
    <w:p w14:paraId="6777214B" w14:textId="77777777" w:rsidR="00E904BD" w:rsidRPr="00E904BD" w:rsidRDefault="00E904BD" w:rsidP="00E904BD">
      <w:pPr>
        <w:spacing w:after="260" w:line="360" w:lineRule="auto"/>
        <w:jc w:val="both"/>
        <w:rPr>
          <w:rFonts w:ascii="Graphik Regular" w:eastAsia="Calibri" w:hAnsi="Graphik Regular" w:cs="Times New Roman"/>
          <w:color w:val="FF0000"/>
          <w:sz w:val="19"/>
          <w:lang w:val="en-US"/>
        </w:rPr>
      </w:pPr>
      <w:r w:rsidRPr="00E904BD">
        <w:rPr>
          <w:rFonts w:ascii="Graphik Regular" w:eastAsia="Graphik Regular" w:hAnsi="Graphik Regular" w:cs="Times New Roman"/>
          <w:color w:val="595957"/>
          <w:sz w:val="19"/>
          <w:szCs w:val="19"/>
          <w:u w:val="single"/>
          <w:lang w:val="en-US"/>
        </w:rPr>
        <w:t>Regulations</w:t>
      </w:r>
      <w:r w:rsidRPr="00E904BD">
        <w:rPr>
          <w:rFonts w:ascii="Graphik Regular" w:eastAsia="Graphik Regular" w:hAnsi="Graphik Regular" w:cs="Times New Roman"/>
          <w:color w:val="595957"/>
          <w:sz w:val="19"/>
          <w:szCs w:val="19"/>
          <w:lang w:val="en-US"/>
        </w:rPr>
        <w:t>:</w:t>
      </w:r>
      <w:r w:rsidRPr="00E904BD">
        <w:rPr>
          <w:rFonts w:ascii="Graphik Regular" w:eastAsia="Graphik Regular" w:hAnsi="Graphik Regular" w:cs="Times New Roman"/>
          <w:color w:val="FF0000"/>
          <w:sz w:val="19"/>
          <w:szCs w:val="19"/>
          <w:lang w:val="en-US"/>
        </w:rPr>
        <w:t xml:space="preserve"> </w:t>
      </w:r>
      <w:r w:rsidRPr="00E904BD">
        <w:rPr>
          <w:rFonts w:ascii="Graphik Regular" w:eastAsia="Graphik Regular" w:hAnsi="Graphik Regular" w:cs="Times New Roman"/>
          <w:color w:val="595957"/>
          <w:sz w:val="19"/>
          <w:szCs w:val="19"/>
          <w:lang w:val="en-US"/>
        </w:rPr>
        <w:t>Law N</w:t>
      </w:r>
      <w:r w:rsidRPr="00E904BD">
        <w:rPr>
          <w:rFonts w:ascii="Graphik Regular" w:eastAsia="Calibri" w:hAnsi="Graphik Regular" w:cs="Times New Roman"/>
          <w:color w:val="595957"/>
          <w:sz w:val="19"/>
          <w:lang w:val="en-US"/>
        </w:rPr>
        <w:t>º</w:t>
      </w:r>
      <w:r w:rsidRPr="00E904BD">
        <w:rPr>
          <w:rFonts w:ascii="Graphik Regular" w:eastAsia="Graphik Regular" w:hAnsi="Graphik Regular" w:cs="Times New Roman"/>
          <w:color w:val="595957"/>
          <w:sz w:val="19"/>
          <w:szCs w:val="19"/>
          <w:lang w:val="en-US"/>
        </w:rPr>
        <w:t xml:space="preserve"> 15,921, Law N</w:t>
      </w:r>
      <w:r w:rsidRPr="00E904BD">
        <w:rPr>
          <w:rFonts w:ascii="Graphik Regular" w:eastAsia="Calibri" w:hAnsi="Graphik Regular" w:cs="Times New Roman"/>
          <w:color w:val="595957"/>
          <w:sz w:val="19"/>
          <w:lang w:val="en-US"/>
        </w:rPr>
        <w:t>º</w:t>
      </w:r>
      <w:r w:rsidRPr="00E904BD">
        <w:rPr>
          <w:rFonts w:ascii="Graphik Regular" w:eastAsia="Graphik Regular" w:hAnsi="Graphik Regular" w:cs="Times New Roman"/>
          <w:color w:val="595957"/>
          <w:sz w:val="19"/>
          <w:szCs w:val="19"/>
          <w:lang w:val="en-US"/>
        </w:rPr>
        <w:t xml:space="preserve"> 16,906, Law N</w:t>
      </w:r>
      <w:r w:rsidRPr="00E904BD">
        <w:rPr>
          <w:rFonts w:ascii="Graphik Regular" w:eastAsia="Calibri" w:hAnsi="Graphik Regular" w:cs="Times New Roman"/>
          <w:color w:val="595957"/>
          <w:sz w:val="19"/>
          <w:lang w:val="en-US"/>
        </w:rPr>
        <w:t>º</w:t>
      </w:r>
      <w:r w:rsidRPr="00E904BD">
        <w:rPr>
          <w:rFonts w:ascii="Graphik Regular" w:eastAsia="Graphik Regular" w:hAnsi="Graphik Regular" w:cs="Times New Roman"/>
          <w:color w:val="595957"/>
          <w:sz w:val="19"/>
          <w:szCs w:val="19"/>
          <w:lang w:val="en-US"/>
        </w:rPr>
        <w:t xml:space="preserve"> 17,547, Decree N</w:t>
      </w:r>
      <w:r w:rsidRPr="00E904BD">
        <w:rPr>
          <w:rFonts w:ascii="Graphik Regular" w:eastAsia="Calibri" w:hAnsi="Graphik Regular" w:cs="Times New Roman"/>
          <w:color w:val="595957"/>
          <w:sz w:val="19"/>
          <w:lang w:val="en-US"/>
        </w:rPr>
        <w:t>º</w:t>
      </w:r>
      <w:r w:rsidRPr="00E904BD">
        <w:rPr>
          <w:rFonts w:ascii="Graphik Regular" w:eastAsia="Graphik Regular" w:hAnsi="Graphik Regular" w:cs="Times New Roman"/>
          <w:color w:val="595957"/>
          <w:sz w:val="19"/>
          <w:szCs w:val="19"/>
          <w:lang w:val="en-US"/>
        </w:rPr>
        <w:t xml:space="preserve"> 524/005.</w:t>
      </w:r>
    </w:p>
    <w:p w14:paraId="604534D4" w14:textId="77777777" w:rsidR="00E904BD" w:rsidRPr="00E904BD" w:rsidRDefault="00E904BD" w:rsidP="00E904BD">
      <w:pPr>
        <w:spacing w:after="260" w:line="360" w:lineRule="auto"/>
        <w:jc w:val="both"/>
        <w:rPr>
          <w:rFonts w:ascii="Graphik Regular" w:eastAsia="Calibri" w:hAnsi="Graphik Regular" w:cs="Times New Roman"/>
          <w:color w:val="595957"/>
          <w:sz w:val="19"/>
          <w:lang w:val="en-US"/>
        </w:rPr>
      </w:pPr>
      <w:r w:rsidRPr="00E904BD">
        <w:rPr>
          <w:rFonts w:ascii="Graphik Regular" w:eastAsia="Graphik Regular" w:hAnsi="Graphik Regular" w:cs="Times New Roman"/>
          <w:color w:val="595957"/>
          <w:sz w:val="19"/>
          <w:szCs w:val="19"/>
          <w:lang w:val="en-US"/>
        </w:rPr>
        <w:t>In the case of the forestry sector, two free trade zones were created for the benefit of the two pulp mills installed in the country, UPM and Montes del Plata, and it is also planned for UPM2.</w:t>
      </w:r>
    </w:p>
    <w:p w14:paraId="5A088926" w14:textId="77777777" w:rsidR="00E904BD" w:rsidRPr="00E904BD" w:rsidRDefault="00E904BD" w:rsidP="00E904BD">
      <w:pPr>
        <w:keepNext/>
        <w:keepLines/>
        <w:numPr>
          <w:ilvl w:val="1"/>
          <w:numId w:val="0"/>
        </w:numPr>
        <w:spacing w:before="520" w:after="360" w:line="240" w:lineRule="auto"/>
        <w:ind w:left="567" w:hanging="567"/>
        <w:contextualSpacing/>
        <w:outlineLvl w:val="1"/>
        <w:rPr>
          <w:rFonts w:ascii="Graphik Semibold" w:eastAsia="Times New Roman" w:hAnsi="Graphik Semibold" w:cs="Times New Roman (Títulos en alf"/>
          <w:caps/>
          <w:color w:val="005496"/>
          <w:spacing w:val="28"/>
          <w:kern w:val="28"/>
          <w:sz w:val="28"/>
          <w:szCs w:val="26"/>
          <w:lang w:val="en-US"/>
        </w:rPr>
      </w:pPr>
      <w:bookmarkStart w:id="15" w:name="_Toc74822433"/>
      <w:bookmarkStart w:id="16" w:name="_Toc101113580"/>
      <w:r w:rsidRPr="00E904BD">
        <w:rPr>
          <w:rFonts w:ascii="Graphik Semibold" w:eastAsia="Graphik Semibold" w:hAnsi="Graphik Semibold" w:cs="Times New Roman (Títulos en alf"/>
          <w:caps/>
          <w:color w:val="005496"/>
          <w:spacing w:val="28"/>
          <w:kern w:val="28"/>
          <w:sz w:val="28"/>
          <w:szCs w:val="28"/>
          <w:lang w:val="en-US"/>
        </w:rPr>
        <w:t>Other Relevant Regulations to the Forestry Sector</w:t>
      </w:r>
      <w:bookmarkEnd w:id="15"/>
      <w:bookmarkEnd w:id="16"/>
    </w:p>
    <w:p w14:paraId="1482525F" w14:textId="77777777" w:rsidR="00E904BD" w:rsidRPr="00E904BD" w:rsidRDefault="00E904BD" w:rsidP="00E904BD">
      <w:pPr>
        <w:numPr>
          <w:ilvl w:val="0"/>
          <w:numId w:val="6"/>
        </w:numPr>
        <w:spacing w:after="260" w:line="276" w:lineRule="auto"/>
        <w:contextualSpacing/>
        <w:jc w:val="both"/>
        <w:rPr>
          <w:rFonts w:ascii="Graphik Regular" w:eastAsia="Calibri" w:hAnsi="Graphik Regular" w:cs="Times New Roman"/>
          <w:color w:val="595957"/>
          <w:sz w:val="19"/>
          <w:szCs w:val="20"/>
          <w:lang w:val="en-US"/>
        </w:rPr>
      </w:pPr>
      <w:r w:rsidRPr="00E904BD">
        <w:rPr>
          <w:rFonts w:ascii="Graphik Regular" w:eastAsia="Graphik Regular" w:hAnsi="Graphik Regular" w:cs="Times New Roman"/>
          <w:color w:val="595957"/>
          <w:sz w:val="19"/>
          <w:szCs w:val="19"/>
          <w:lang w:val="en-US"/>
        </w:rPr>
        <w:t>Decree 372/99: Regulation on working conditions in the forestry sector.</w:t>
      </w:r>
    </w:p>
    <w:p w14:paraId="669EB8A3" w14:textId="77777777" w:rsidR="00E904BD" w:rsidRPr="00E904BD" w:rsidRDefault="00E904BD" w:rsidP="00E904BD">
      <w:pPr>
        <w:numPr>
          <w:ilvl w:val="0"/>
          <w:numId w:val="6"/>
        </w:numPr>
        <w:spacing w:after="260" w:line="276" w:lineRule="auto"/>
        <w:contextualSpacing/>
        <w:jc w:val="both"/>
        <w:rPr>
          <w:rFonts w:ascii="Graphik Regular" w:eastAsia="Calibri" w:hAnsi="Graphik Regular" w:cs="Times New Roman"/>
          <w:color w:val="595957"/>
          <w:sz w:val="19"/>
          <w:szCs w:val="20"/>
          <w:lang w:val="en-US"/>
        </w:rPr>
      </w:pPr>
      <w:r w:rsidRPr="00E904BD">
        <w:rPr>
          <w:rFonts w:ascii="Graphik Regular" w:eastAsia="Graphik Regular" w:hAnsi="Graphik Regular" w:cs="Times New Roman"/>
          <w:color w:val="595957"/>
          <w:sz w:val="19"/>
          <w:szCs w:val="19"/>
          <w:lang w:val="en-US"/>
        </w:rPr>
        <w:t>Environmental Impact Assessment Law (N</w:t>
      </w:r>
      <w:r w:rsidRPr="00E904BD">
        <w:rPr>
          <w:rFonts w:ascii="Graphik Regular" w:eastAsia="Calibri" w:hAnsi="Graphik Regular" w:cs="Times New Roman"/>
          <w:color w:val="595957"/>
          <w:sz w:val="19"/>
          <w:lang w:val="en-US"/>
        </w:rPr>
        <w:t>º</w:t>
      </w:r>
      <w:r w:rsidRPr="00E904BD">
        <w:rPr>
          <w:rFonts w:ascii="Graphik Regular" w:eastAsia="Graphik Regular" w:hAnsi="Graphik Regular" w:cs="Times New Roman"/>
          <w:color w:val="595957"/>
          <w:sz w:val="19"/>
          <w:szCs w:val="19"/>
          <w:lang w:val="en-US"/>
        </w:rPr>
        <w:t xml:space="preserve"> 16,466) and decrees (435/94 and 349/05).</w:t>
      </w:r>
    </w:p>
    <w:p w14:paraId="721E32E8" w14:textId="77777777" w:rsidR="00E904BD" w:rsidRPr="00E904BD" w:rsidRDefault="00E904BD" w:rsidP="00E904BD">
      <w:pPr>
        <w:numPr>
          <w:ilvl w:val="0"/>
          <w:numId w:val="6"/>
        </w:numPr>
        <w:spacing w:after="260" w:line="276" w:lineRule="auto"/>
        <w:contextualSpacing/>
        <w:jc w:val="both"/>
        <w:rPr>
          <w:rFonts w:ascii="Graphik Regular" w:eastAsia="Calibri" w:hAnsi="Graphik Regular" w:cs="Times New Roman"/>
          <w:color w:val="595957"/>
          <w:sz w:val="19"/>
          <w:szCs w:val="20"/>
          <w:lang w:val="en-US"/>
        </w:rPr>
      </w:pPr>
      <w:r w:rsidRPr="00E904BD">
        <w:rPr>
          <w:rFonts w:ascii="Graphik Regular" w:eastAsia="Graphik Regular" w:hAnsi="Graphik Regular" w:cs="Times New Roman"/>
          <w:color w:val="595957"/>
          <w:sz w:val="19"/>
          <w:szCs w:val="19"/>
          <w:lang w:val="en-US"/>
        </w:rPr>
        <w:t>Decree 848/988: Fire prevention.</w:t>
      </w:r>
    </w:p>
    <w:p w14:paraId="31AD3B04" w14:textId="77777777" w:rsidR="005B0BCC" w:rsidRDefault="005B0BCC"/>
    <w:sectPr w:rsidR="005B0BCC">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DE348C" w14:textId="77777777" w:rsidR="00E904BD" w:rsidRDefault="00E904BD" w:rsidP="00E904BD">
      <w:pPr>
        <w:spacing w:after="0" w:line="240" w:lineRule="auto"/>
      </w:pPr>
      <w:r>
        <w:separator/>
      </w:r>
    </w:p>
  </w:endnote>
  <w:endnote w:type="continuationSeparator" w:id="0">
    <w:p w14:paraId="1B560DCA" w14:textId="77777777" w:rsidR="00E904BD" w:rsidRDefault="00E904BD" w:rsidP="00E904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hunkFive Roman">
    <w:altName w:val="Calibri"/>
    <w:panose1 w:val="00000500000000000000"/>
    <w:charset w:val="00"/>
    <w:family w:val="modern"/>
    <w:notTrueType/>
    <w:pitch w:val="variable"/>
    <w:sig w:usb0="00000003" w:usb1="00000000" w:usb2="00000000" w:usb3="00000000" w:csb0="00000001" w:csb1="00000000"/>
  </w:font>
  <w:font w:name="Graphik Regular">
    <w:altName w:val="Calibri"/>
    <w:panose1 w:val="020B0503030202060203"/>
    <w:charset w:val="00"/>
    <w:family w:val="swiss"/>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Graphik Semibold">
    <w:altName w:val="Calibri"/>
    <w:panose1 w:val="020B0703030202060203"/>
    <w:charset w:val="00"/>
    <w:family w:val="swiss"/>
    <w:notTrueType/>
    <w:pitch w:val="variable"/>
    <w:sig w:usb0="00000007" w:usb1="00000000" w:usb2="00000000" w:usb3="00000000" w:csb0="00000093" w:csb1="00000000"/>
  </w:font>
  <w:font w:name="Times New Roman (Títulos en alf">
    <w:altName w:val="Times New Roman"/>
    <w:charset w:val="00"/>
    <w:family w:val="roman"/>
    <w:pitch w:val="default"/>
  </w:font>
  <w:font w:name="Graphik Medium">
    <w:altName w:val="Calibri"/>
    <w:panose1 w:val="020B0603030202060203"/>
    <w:charset w:val="00"/>
    <w:family w:val="swiss"/>
    <w:notTrueType/>
    <w:pitch w:val="variable"/>
    <w:sig w:usb0="00000007" w:usb1="00000000" w:usb2="00000000" w:usb3="00000000" w:csb0="00000093" w:csb1="00000000"/>
  </w:font>
  <w:font w:name="ArialNarrow">
    <w:altName w:val="Times New Roman"/>
    <w:panose1 w:val="00000000000000000000"/>
    <w:charset w:val="00"/>
    <w:family w:val="auto"/>
    <w:notTrueType/>
    <w:pitch w:val="default"/>
    <w:sig w:usb0="00000003" w:usb1="00000000" w:usb2="00000000" w:usb3="00000000" w:csb0="00000001" w:csb1="00000000"/>
  </w:font>
  <w:font w:name="Open Sans">
    <w:altName w:val="Calibri"/>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730753" w14:textId="77777777" w:rsidR="00E904BD" w:rsidRDefault="00E904BD" w:rsidP="00E904BD">
      <w:pPr>
        <w:spacing w:after="0" w:line="240" w:lineRule="auto"/>
      </w:pPr>
      <w:r>
        <w:separator/>
      </w:r>
    </w:p>
  </w:footnote>
  <w:footnote w:type="continuationSeparator" w:id="0">
    <w:p w14:paraId="043C4149" w14:textId="77777777" w:rsidR="00E904BD" w:rsidRDefault="00E904BD" w:rsidP="00E904BD">
      <w:pPr>
        <w:spacing w:after="0" w:line="240" w:lineRule="auto"/>
      </w:pPr>
      <w:r>
        <w:continuationSeparator/>
      </w:r>
    </w:p>
  </w:footnote>
  <w:footnote w:id="1">
    <w:p w14:paraId="40B88F60" w14:textId="77777777" w:rsidR="00E904BD" w:rsidRPr="00417AEA" w:rsidRDefault="00E904BD" w:rsidP="00E904BD">
      <w:pPr>
        <w:pStyle w:val="Textonotapie"/>
        <w:rPr>
          <w:lang w:val="en-US"/>
        </w:rPr>
      </w:pPr>
      <w:r w:rsidRPr="00524D35">
        <w:rPr>
          <w:rStyle w:val="Refdenotaalpie"/>
          <w:sz w:val="18"/>
          <w:szCs w:val="18"/>
        </w:rPr>
        <w:footnoteRef/>
      </w:r>
      <w:r>
        <w:rPr>
          <w:rFonts w:eastAsia="Graphik Regular"/>
          <w:color w:val="595957"/>
          <w:szCs w:val="16"/>
          <w:lang w:val="en-US"/>
        </w:rPr>
        <w:t xml:space="preserve"> </w:t>
      </w:r>
      <w:r>
        <w:rPr>
          <w:rFonts w:ascii="Graphik Medium" w:eastAsia="Graphik Medium" w:hAnsi="Graphik Medium" w:cs="Graphik Medium"/>
          <w:color w:val="595957"/>
          <w:sz w:val="18"/>
          <w:szCs w:val="18"/>
          <w:lang w:val="en-US"/>
        </w:rPr>
        <w:t xml:space="preserve">Commission on the Application of the Investment Law. See </w:t>
      </w:r>
      <w:hyperlink r:id="rId1" w:history="1">
        <w:r>
          <w:rPr>
            <w:rFonts w:ascii="Graphik Medium" w:eastAsia="Graphik Medium" w:hAnsi="Graphik Medium" w:cs="Graphik Medium"/>
            <w:color w:val="005496"/>
            <w:sz w:val="18"/>
            <w:szCs w:val="18"/>
            <w:u w:val="single"/>
            <w:lang w:val="en-US"/>
          </w:rPr>
          <w:t>documents required to draw up and submit a project</w:t>
        </w:r>
      </w:hyperlink>
      <w:r>
        <w:rPr>
          <w:rFonts w:ascii="Graphik Medium" w:eastAsia="Graphik Medium" w:hAnsi="Graphik Medium" w:cs="Graphik Medium"/>
          <w:color w:val="595957"/>
          <w:sz w:val="18"/>
          <w:szCs w:val="18"/>
          <w:lang w:val="en-US"/>
        </w:rPr>
        <w:t>.</w:t>
      </w:r>
      <w:r>
        <w:rPr>
          <w:rFonts w:eastAsia="Graphik Regular"/>
          <w:color w:val="595957"/>
          <w:szCs w:val="16"/>
          <w:lang w:val="en-US"/>
        </w:rPr>
        <w:t xml:space="preserve"> </w:t>
      </w:r>
    </w:p>
  </w:footnote>
  <w:footnote w:id="2">
    <w:p w14:paraId="036130EB" w14:textId="77777777" w:rsidR="00E904BD" w:rsidRPr="00E904BD" w:rsidRDefault="00E904BD" w:rsidP="00E904BD">
      <w:pPr>
        <w:spacing w:line="276" w:lineRule="auto"/>
        <w:rPr>
          <w:rFonts w:cs="Graphik Medium"/>
          <w:color w:val="939390"/>
          <w:sz w:val="18"/>
          <w:szCs w:val="18"/>
          <w:lang w:val="en-US" w:eastAsia="es-UY"/>
        </w:rPr>
      </w:pPr>
      <w:r w:rsidRPr="00E904BD">
        <w:rPr>
          <w:rStyle w:val="Refdenotaalpie"/>
          <w:rFonts w:cs="Graphik Medium"/>
          <w:sz w:val="18"/>
          <w:szCs w:val="18"/>
        </w:rPr>
        <w:footnoteRef/>
      </w:r>
      <w:r>
        <w:rPr>
          <w:rFonts w:eastAsia="Graphik Regular" w:cs="Graphik Medium"/>
          <w:sz w:val="18"/>
          <w:szCs w:val="18"/>
          <w:lang w:val="en-US"/>
        </w:rPr>
        <w:t xml:space="preserve">A minimum of one point must be obtained among all indicators (except decentralization). </w:t>
      </w:r>
      <w:r>
        <w:rPr>
          <w:rFonts w:eastAsia="Graphik Regular" w:cs="Graphik Medium"/>
          <w:color w:val="939390"/>
          <w:sz w:val="18"/>
          <w:szCs w:val="18"/>
          <w:lang w:val="en-US"/>
        </w:rPr>
        <w:t xml:space="preserve">See </w:t>
      </w:r>
      <w:hyperlink r:id="rId2" w:history="1">
        <w:r>
          <w:rPr>
            <w:rFonts w:eastAsia="Graphik Regular" w:cs="Graphik Medium"/>
            <w:color w:val="005496"/>
            <w:sz w:val="18"/>
            <w:szCs w:val="18"/>
            <w:u w:val="single"/>
            <w:lang w:val="en-US"/>
          </w:rPr>
          <w:t>indicator guide.</w:t>
        </w:r>
      </w:hyperlink>
    </w:p>
    <w:p w14:paraId="429E4F15" w14:textId="77777777" w:rsidR="00E904BD" w:rsidRPr="00417AEA" w:rsidRDefault="00E904BD" w:rsidP="00E904BD">
      <w:pPr>
        <w:pStyle w:val="Textonotapie"/>
        <w:rPr>
          <w:lang w:val="en-US"/>
        </w:rPr>
      </w:pPr>
    </w:p>
  </w:footnote>
  <w:footnote w:id="3">
    <w:p w14:paraId="4E4CBCCF" w14:textId="77777777" w:rsidR="00E904BD" w:rsidRPr="00524D35" w:rsidRDefault="00E904BD" w:rsidP="00E904BD">
      <w:pPr>
        <w:pStyle w:val="Textonotapie"/>
        <w:rPr>
          <w:sz w:val="18"/>
          <w:szCs w:val="18"/>
          <w:lang w:val="en-US"/>
        </w:rPr>
      </w:pPr>
      <w:r w:rsidRPr="00E904BD">
        <w:rPr>
          <w:rStyle w:val="Refdenotaalpie"/>
          <w:rFonts w:cs="Graphik Medium"/>
          <w:sz w:val="18"/>
          <w:szCs w:val="18"/>
        </w:rPr>
        <w:footnoteRef/>
      </w:r>
      <w:r w:rsidRPr="00524D35">
        <w:rPr>
          <w:rFonts w:eastAsia="Graphik Regular" w:cs="Graphik Medium"/>
          <w:color w:val="595957"/>
          <w:sz w:val="18"/>
          <w:szCs w:val="18"/>
          <w:lang w:val="en-US"/>
        </w:rPr>
        <w:t xml:space="preserve"> </w:t>
      </w:r>
      <w:r w:rsidRPr="00524D35">
        <w:rPr>
          <w:rFonts w:eastAsia="Graphik Regular"/>
          <w:color w:val="595957"/>
          <w:sz w:val="18"/>
          <w:szCs w:val="18"/>
          <w:lang w:val="en-US"/>
        </w:rPr>
        <w:t>As of March 28, 2022, it is equivalent to US$63 (UI=$5.30; Exchange Rate=$41.79).</w:t>
      </w:r>
    </w:p>
  </w:footnote>
  <w:footnote w:id="4">
    <w:p w14:paraId="70F4256A" w14:textId="77777777" w:rsidR="00E904BD" w:rsidRPr="00E904BD" w:rsidRDefault="00E904BD" w:rsidP="00E904BD">
      <w:pPr>
        <w:pStyle w:val="Textonotapie"/>
        <w:rPr>
          <w:rFonts w:ascii="Graphik Medium" w:hAnsi="Graphik Medium" w:cs="Graphik Medium"/>
          <w:sz w:val="18"/>
          <w:szCs w:val="18"/>
          <w:lang w:val="en-US"/>
        </w:rPr>
      </w:pPr>
      <w:r w:rsidRPr="00E904BD">
        <w:rPr>
          <w:rStyle w:val="Refdenotaalpie"/>
          <w:rFonts w:cs="Graphik Medium"/>
          <w:sz w:val="18"/>
          <w:szCs w:val="18"/>
        </w:rPr>
        <w:footnoteRef/>
      </w:r>
      <w:r w:rsidRPr="00524D35">
        <w:rPr>
          <w:rFonts w:eastAsia="Graphik Regular" w:cs="Graphik Medium"/>
          <w:color w:val="595957"/>
          <w:sz w:val="18"/>
          <w:szCs w:val="18"/>
          <w:lang w:val="en-US"/>
        </w:rPr>
        <w:t xml:space="preserve"> </w:t>
      </w:r>
      <w:r w:rsidRPr="00524D35">
        <w:rPr>
          <w:rFonts w:eastAsia="Graphik Regular"/>
          <w:color w:val="595957"/>
          <w:sz w:val="18"/>
          <w:szCs w:val="18"/>
          <w:lang w:val="en-US"/>
        </w:rPr>
        <w:t xml:space="preserve">For more information, see </w:t>
      </w:r>
      <w:hyperlink r:id="rId3" w:history="1">
        <w:r w:rsidRPr="00524D35">
          <w:rPr>
            <w:rFonts w:eastAsia="Graphik Regular"/>
            <w:color w:val="595957"/>
            <w:sz w:val="18"/>
            <w:szCs w:val="18"/>
            <w:lang w:val="en-US"/>
          </w:rPr>
          <w:t>Decree N</w:t>
        </w:r>
        <w:r w:rsidRPr="00524D35">
          <w:rPr>
            <w:sz w:val="18"/>
            <w:szCs w:val="18"/>
            <w:lang w:val="en-US"/>
          </w:rPr>
          <w:t>º</w:t>
        </w:r>
        <w:r w:rsidRPr="00524D35">
          <w:rPr>
            <w:rFonts w:eastAsia="Graphik Regular"/>
            <w:color w:val="595957"/>
            <w:sz w:val="18"/>
            <w:szCs w:val="18"/>
            <w:lang w:val="en-US"/>
          </w:rPr>
          <w:t xml:space="preserve"> 268/020</w:t>
        </w:r>
      </w:hyperlink>
      <w:r w:rsidRPr="00524D35">
        <w:rPr>
          <w:rFonts w:eastAsia="Graphik Regular"/>
          <w:color w:val="595957"/>
          <w:sz w:val="18"/>
          <w:szCs w:val="18"/>
          <w:lang w:val="en-US"/>
        </w:rPr>
        <w:t>, page 3. The CIF value of utility vehicles, pick-up trucks and vans shall not exceed US$30,000. In the case of electric vehicles this shall not exceed US$60,000.</w:t>
      </w:r>
    </w:p>
  </w:footnote>
  <w:footnote w:id="5">
    <w:p w14:paraId="614C5A01" w14:textId="77777777" w:rsidR="00E904BD" w:rsidRPr="00524D35" w:rsidRDefault="00E904BD" w:rsidP="00E904BD">
      <w:pPr>
        <w:pStyle w:val="Textonotapie"/>
        <w:rPr>
          <w:sz w:val="18"/>
          <w:szCs w:val="18"/>
          <w:lang w:val="en-US"/>
        </w:rPr>
      </w:pPr>
      <w:r w:rsidRPr="00524D35">
        <w:rPr>
          <w:rStyle w:val="Refdenotaalpie"/>
          <w:sz w:val="18"/>
          <w:szCs w:val="18"/>
        </w:rPr>
        <w:footnoteRef/>
      </w:r>
      <w:r w:rsidRPr="00524D35">
        <w:rPr>
          <w:rFonts w:eastAsia="Graphik Regular"/>
          <w:color w:val="595957"/>
          <w:sz w:val="18"/>
          <w:szCs w:val="18"/>
          <w:lang w:val="en-US"/>
        </w:rPr>
        <w:t xml:space="preserve"> </w:t>
      </w:r>
      <w:r w:rsidRPr="00524D35">
        <w:rPr>
          <w:rFonts w:ascii="Graphik Medium" w:eastAsia="Graphik Medium" w:hAnsi="Graphik Medium" w:cs="Graphik Medium"/>
          <w:color w:val="595957"/>
          <w:sz w:val="18"/>
          <w:szCs w:val="18"/>
          <w:lang w:val="en-US"/>
        </w:rPr>
        <w:t xml:space="preserve">For more information, see Art. 23 of </w:t>
      </w:r>
      <w:hyperlink r:id="rId4" w:history="1">
        <w:r w:rsidRPr="00524D35">
          <w:rPr>
            <w:rFonts w:ascii="Graphik Medium" w:eastAsia="Graphik Medium" w:hAnsi="Graphik Medium" w:cs="Graphik Medium"/>
            <w:color w:val="005496"/>
            <w:sz w:val="18"/>
            <w:szCs w:val="18"/>
            <w:u w:val="single"/>
            <w:lang w:val="en-US"/>
          </w:rPr>
          <w:t>Decree N</w:t>
        </w:r>
        <w:r w:rsidRPr="00524D35">
          <w:rPr>
            <w:sz w:val="18"/>
            <w:szCs w:val="18"/>
            <w:u w:val="single"/>
            <w:lang w:val="en-US"/>
          </w:rPr>
          <w:t>º</w:t>
        </w:r>
        <w:r w:rsidRPr="00524D35">
          <w:rPr>
            <w:rFonts w:ascii="Graphik Medium" w:eastAsia="Graphik Medium" w:hAnsi="Graphik Medium" w:cs="Graphik Medium"/>
            <w:color w:val="005496"/>
            <w:sz w:val="18"/>
            <w:szCs w:val="18"/>
            <w:u w:val="single"/>
            <w:lang w:val="en-US"/>
          </w:rPr>
          <w:t xml:space="preserve"> 268/020</w:t>
        </w:r>
      </w:hyperlink>
      <w:r w:rsidRPr="00524D35">
        <w:rPr>
          <w:rFonts w:ascii="Graphik Medium" w:eastAsia="Graphik Medium" w:hAnsi="Graphik Medium" w:cs="Graphik Medium"/>
          <w:color w:val="595957"/>
          <w:sz w:val="18"/>
          <w:szCs w:val="18"/>
          <w:lang w:val="en-US"/>
        </w:rPr>
        <w:t>, page 14.</w:t>
      </w:r>
    </w:p>
  </w:footnote>
  <w:footnote w:id="6">
    <w:p w14:paraId="4925B400" w14:textId="77777777" w:rsidR="00E904BD" w:rsidRPr="00E904BD" w:rsidRDefault="00E904BD" w:rsidP="00E904BD">
      <w:pPr>
        <w:pStyle w:val="HTMLconformatoprevio"/>
        <w:shd w:val="clear" w:color="auto" w:fill="FFFFFF"/>
        <w:spacing w:after="150"/>
        <w:rPr>
          <w:rFonts w:ascii="Graphik Medium" w:hAnsi="Graphik Medium" w:cs="Graphik Medium"/>
          <w:bCs/>
          <w:color w:val="939390"/>
          <w:sz w:val="18"/>
          <w:szCs w:val="18"/>
          <w:lang w:val="en-US"/>
        </w:rPr>
      </w:pPr>
      <w:r w:rsidRPr="00E904BD">
        <w:rPr>
          <w:rStyle w:val="Refdenotaalpie"/>
          <w:rFonts w:ascii="Graphik Medium" w:hAnsi="Graphik Medium" w:cs="Graphik Medium"/>
          <w:sz w:val="18"/>
          <w:szCs w:val="18"/>
        </w:rPr>
        <w:footnoteRef/>
      </w:r>
      <w:r>
        <w:rPr>
          <w:rFonts w:ascii="Graphik Medium" w:eastAsia="Graphik Medium" w:hAnsi="Graphik Medium" w:cs="Graphik Medium"/>
          <w:sz w:val="18"/>
          <w:szCs w:val="18"/>
          <w:lang w:val="en-US"/>
        </w:rPr>
        <w:t xml:space="preserve"> </w:t>
      </w:r>
      <w:r>
        <w:rPr>
          <w:rFonts w:ascii="Graphik Medium" w:eastAsia="Graphik Medium" w:hAnsi="Graphik Medium" w:cs="Graphik Medium"/>
          <w:color w:val="939390"/>
          <w:sz w:val="18"/>
          <w:szCs w:val="18"/>
          <w:lang w:val="en-US"/>
        </w:rPr>
        <w:t xml:space="preserve">For more information, please see the report on </w:t>
      </w:r>
      <w:hyperlink r:id="rId5" w:history="1">
        <w:r>
          <w:rPr>
            <w:rFonts w:ascii="Graphik Medium" w:eastAsia="Graphik Medium" w:hAnsi="Graphik Medium" w:cs="Graphik Medium"/>
            <w:color w:val="005496"/>
            <w:sz w:val="18"/>
            <w:szCs w:val="18"/>
            <w:u w:val="single"/>
            <w:lang w:val="en-US"/>
          </w:rPr>
          <w:t>industrial parks</w:t>
        </w:r>
      </w:hyperlink>
      <w:r>
        <w:rPr>
          <w:rFonts w:ascii="Graphik Medium" w:eastAsia="Graphik Medium" w:hAnsi="Graphik Medium" w:cs="Graphik Medium"/>
          <w:color w:val="939390"/>
          <w:sz w:val="18"/>
          <w:szCs w:val="18"/>
          <w:lang w:val="en-US"/>
        </w:rPr>
        <w:t xml:space="preserve"> of Uruguay XXI.</w:t>
      </w:r>
    </w:p>
    <w:p w14:paraId="46774375" w14:textId="77777777" w:rsidR="00E904BD" w:rsidRPr="00417AEA" w:rsidRDefault="00E904BD" w:rsidP="00E904BD">
      <w:pPr>
        <w:pStyle w:val="Textonotapie"/>
        <w:rPr>
          <w:lang w:val="en-US"/>
        </w:rPr>
      </w:pPr>
    </w:p>
  </w:footnote>
  <w:footnote w:id="7">
    <w:p w14:paraId="6863C913" w14:textId="77777777" w:rsidR="00E904BD" w:rsidRPr="00417AEA" w:rsidRDefault="00E904BD" w:rsidP="00E904BD">
      <w:pPr>
        <w:pStyle w:val="Textonotapie"/>
        <w:rPr>
          <w:rFonts w:cs="Calibri"/>
          <w:sz w:val="18"/>
          <w:szCs w:val="18"/>
          <w:lang w:val="en-US"/>
        </w:rPr>
      </w:pPr>
      <w:r w:rsidRPr="0043405B">
        <w:rPr>
          <w:rStyle w:val="Refdenotaalpie"/>
          <w:rFonts w:cs="Calibri"/>
          <w:sz w:val="18"/>
          <w:szCs w:val="18"/>
        </w:rPr>
        <w:footnoteRef/>
      </w:r>
      <w:r>
        <w:rPr>
          <w:rFonts w:eastAsia="Graphik Regular" w:cs="Calibri"/>
          <w:color w:val="595957"/>
          <w:sz w:val="18"/>
          <w:szCs w:val="18"/>
          <w:vertAlign w:val="superscript"/>
          <w:lang w:val="en-US"/>
        </w:rPr>
        <w:t xml:space="preserve"> </w:t>
      </w:r>
      <w:r>
        <w:rPr>
          <w:rFonts w:eastAsia="Graphik Regular" w:cs="Calibri"/>
          <w:color w:val="595957"/>
          <w:sz w:val="18"/>
          <w:szCs w:val="18"/>
          <w:lang w:val="en-US"/>
        </w:rPr>
        <w:t>Law N</w:t>
      </w:r>
      <w:r w:rsidRPr="00417AEA">
        <w:rPr>
          <w:lang w:val="en-US"/>
        </w:rPr>
        <w:t>º</w:t>
      </w:r>
      <w:r>
        <w:rPr>
          <w:rFonts w:eastAsia="Graphik Regular" w:cs="Calibri"/>
          <w:color w:val="595957"/>
          <w:sz w:val="18"/>
          <w:szCs w:val="18"/>
          <w:lang w:val="en-US"/>
        </w:rPr>
        <w:t xml:space="preserve"> 15,939 is available at: </w:t>
      </w:r>
      <w:hyperlink r:id="rId6" w:history="1">
        <w:r>
          <w:rPr>
            <w:rFonts w:eastAsia="Graphik Regular" w:cs="Calibri"/>
            <w:color w:val="005496"/>
            <w:sz w:val="18"/>
            <w:szCs w:val="18"/>
            <w:u w:val="single"/>
            <w:lang w:val="en-US"/>
          </w:rPr>
          <w:t>https://parlamento.gub.uy</w:t>
        </w:r>
      </w:hyperlink>
      <w:r>
        <w:rPr>
          <w:rFonts w:eastAsia="Graphik Regular" w:cs="Calibri"/>
          <w:color w:val="595957"/>
          <w:sz w:val="18"/>
          <w:szCs w:val="18"/>
          <w:lang w:val="en-US"/>
        </w:rPr>
        <w:t>.</w:t>
      </w:r>
    </w:p>
  </w:footnote>
  <w:footnote w:id="8">
    <w:p w14:paraId="5725DB7B" w14:textId="77777777" w:rsidR="00E904BD" w:rsidRPr="00E27EE1" w:rsidRDefault="00E904BD" w:rsidP="00E904BD">
      <w:pPr>
        <w:spacing w:after="60"/>
        <w:ind w:left="142"/>
        <w:rPr>
          <w:rFonts w:cs="Calibri"/>
          <w:sz w:val="18"/>
          <w:szCs w:val="18"/>
          <w:lang w:val="en-US"/>
        </w:rPr>
      </w:pPr>
      <w:r w:rsidRPr="00E27EE1">
        <w:rPr>
          <w:rStyle w:val="Refdenotaalpie"/>
          <w:sz w:val="18"/>
          <w:szCs w:val="18"/>
        </w:rPr>
        <w:footnoteRef/>
      </w:r>
      <w:r w:rsidRPr="00E27EE1">
        <w:rPr>
          <w:rFonts w:eastAsia="Graphik Regular"/>
          <w:sz w:val="18"/>
          <w:szCs w:val="18"/>
          <w:lang w:val="en-US"/>
        </w:rPr>
        <w:t xml:space="preserve"> </w:t>
      </w:r>
      <w:r w:rsidRPr="00E27EE1">
        <w:rPr>
          <w:rFonts w:eastAsia="Graphik Regular" w:cs="Calibri"/>
          <w:sz w:val="18"/>
          <w:szCs w:val="18"/>
          <w:lang w:val="en-US"/>
        </w:rPr>
        <w:t>Decree N</w:t>
      </w:r>
      <w:r w:rsidRPr="00E27EE1">
        <w:rPr>
          <w:sz w:val="18"/>
          <w:szCs w:val="18"/>
          <w:lang w:val="en-US"/>
        </w:rPr>
        <w:t>º</w:t>
      </w:r>
      <w:r w:rsidRPr="00E27EE1">
        <w:rPr>
          <w:rFonts w:eastAsia="Graphik Regular" w:cs="Calibri"/>
          <w:sz w:val="18"/>
          <w:szCs w:val="18"/>
          <w:lang w:val="en-US"/>
        </w:rPr>
        <w:t xml:space="preserve"> 220/998 lists the operations included in the item “exports of services”.</w:t>
      </w:r>
    </w:p>
  </w:footnote>
  <w:footnote w:id="9">
    <w:p w14:paraId="6261E801" w14:textId="77777777" w:rsidR="00E904BD" w:rsidRPr="00417AEA" w:rsidRDefault="00E904BD" w:rsidP="00E904BD">
      <w:pPr>
        <w:pStyle w:val="Textonotapie"/>
        <w:spacing w:after="60"/>
        <w:rPr>
          <w:lang w:val="en-US"/>
        </w:rPr>
      </w:pPr>
      <w:r w:rsidRPr="009A0BE1">
        <w:rPr>
          <w:rStyle w:val="Refdenotaalpie"/>
          <w:sz w:val="18"/>
        </w:rPr>
        <w:footnoteRef/>
      </w:r>
      <w:r>
        <w:rPr>
          <w:rFonts w:eastAsia="Graphik Regular"/>
          <w:color w:val="595957"/>
          <w:sz w:val="18"/>
          <w:szCs w:val="18"/>
          <w:lang w:val="en-US"/>
        </w:rPr>
        <w:t xml:space="preserve"> For more information on the free trade zone regime, see: </w:t>
      </w:r>
      <w:hyperlink r:id="rId7" w:history="1">
        <w:r>
          <w:rPr>
            <w:rFonts w:eastAsia="Graphik Regular"/>
            <w:color w:val="005496"/>
            <w:sz w:val="18"/>
            <w:szCs w:val="18"/>
            <w:u w:val="single"/>
            <w:lang w:val="en-US"/>
          </w:rPr>
          <w:t>Free Trade Zones in Uruguay – Uruguay XXI</w:t>
        </w:r>
      </w:hyperlink>
      <w:r>
        <w:rPr>
          <w:rFonts w:eastAsia="Graphik Regular"/>
          <w:color w:val="595957"/>
          <w:sz w:val="18"/>
          <w:szCs w:val="18"/>
          <w:lang w:val="en-US"/>
        </w:rPr>
        <w:t>.</w:t>
      </w:r>
    </w:p>
  </w:footnote>
  <w:footnote w:id="10">
    <w:p w14:paraId="610E64E6" w14:textId="77777777" w:rsidR="00E904BD" w:rsidRPr="00E27EE1" w:rsidRDefault="00E904BD" w:rsidP="00E904BD">
      <w:pPr>
        <w:pStyle w:val="Textonotapie"/>
        <w:rPr>
          <w:lang w:val="en-US"/>
        </w:rPr>
      </w:pPr>
      <w:r w:rsidRPr="00E27EE1">
        <w:rPr>
          <w:rStyle w:val="Refdenotaalpie"/>
          <w:sz w:val="18"/>
          <w:szCs w:val="18"/>
        </w:rPr>
        <w:footnoteRef/>
      </w:r>
      <w:r>
        <w:rPr>
          <w:rFonts w:eastAsia="Graphik Regular"/>
          <w:color w:val="595957"/>
          <w:szCs w:val="16"/>
          <w:lang w:val="en-US"/>
        </w:rPr>
        <w:t xml:space="preserve"> </w:t>
      </w:r>
      <w:r>
        <w:rPr>
          <w:rFonts w:eastAsia="Graphik Regular"/>
          <w:color w:val="595957"/>
          <w:sz w:val="18"/>
          <w:szCs w:val="18"/>
          <w:lang w:val="en-US"/>
        </w:rPr>
        <w:t xml:space="preserve">Website: </w:t>
      </w:r>
      <w:hyperlink r:id="rId8" w:history="1">
        <w:r>
          <w:rPr>
            <w:rFonts w:eastAsia="Graphik Regular"/>
            <w:color w:val="005496"/>
            <w:sz w:val="18"/>
            <w:szCs w:val="18"/>
            <w:u w:val="single"/>
            <w:lang w:val="en-US"/>
          </w:rPr>
          <w:t>http://www.zfrancas.gub.uy/</w:t>
        </w:r>
      </w:hyperlink>
      <w:r>
        <w:rPr>
          <w:rFonts w:eastAsia="Graphik Regular"/>
          <w:color w:val="005496"/>
          <w:sz w:val="18"/>
          <w:szCs w:val="18"/>
          <w:lang w:val="en-US"/>
        </w:rPr>
        <w:t>.</w:t>
      </w:r>
    </w:p>
  </w:footnote>
  <w:footnote w:id="11">
    <w:p w14:paraId="0041B309" w14:textId="77777777" w:rsidR="00E904BD" w:rsidRPr="00417AEA" w:rsidRDefault="00E904BD" w:rsidP="00E904BD">
      <w:pPr>
        <w:pStyle w:val="Textonotapie"/>
        <w:spacing w:after="60"/>
        <w:rPr>
          <w:sz w:val="18"/>
          <w:szCs w:val="18"/>
          <w:lang w:val="en-US"/>
        </w:rPr>
      </w:pPr>
      <w:r w:rsidRPr="00154252">
        <w:rPr>
          <w:rStyle w:val="Refdenotaalpie"/>
          <w:sz w:val="18"/>
          <w:szCs w:val="18"/>
        </w:rPr>
        <w:footnoteRef/>
      </w:r>
      <w:r>
        <w:rPr>
          <w:rFonts w:eastAsia="Graphik Regular"/>
          <w:color w:val="595957"/>
          <w:sz w:val="18"/>
          <w:szCs w:val="18"/>
          <w:lang w:val="en-US"/>
        </w:rPr>
        <w:t xml:space="preserve"> The agreement with Argentina only covers the Colonia free trade zone.</w:t>
      </w:r>
    </w:p>
  </w:footnote>
  <w:footnote w:id="12">
    <w:p w14:paraId="737E0DD3" w14:textId="77777777" w:rsidR="00E904BD" w:rsidRPr="00E904BD" w:rsidRDefault="00E904BD" w:rsidP="00E904BD">
      <w:pPr>
        <w:spacing w:after="60" w:line="240" w:lineRule="auto"/>
        <w:rPr>
          <w:rFonts w:ascii="Open Sans" w:eastAsia="Times New Roman" w:hAnsi="Open Sans"/>
          <w:color w:val="595957"/>
          <w:sz w:val="18"/>
          <w:szCs w:val="18"/>
          <w:lang w:val="en-US" w:eastAsia="es-MX"/>
        </w:rPr>
      </w:pPr>
      <w:r w:rsidRPr="00E904BD">
        <w:rPr>
          <w:rStyle w:val="Refdenotaalpie"/>
          <w:color w:val="595957"/>
          <w:sz w:val="18"/>
          <w:szCs w:val="18"/>
        </w:rPr>
        <w:footnoteRef/>
      </w:r>
      <w:r>
        <w:rPr>
          <w:rFonts w:eastAsia="Graphik Regular"/>
          <w:sz w:val="18"/>
          <w:szCs w:val="18"/>
          <w:lang w:val="en-US"/>
        </w:rPr>
        <w:t xml:space="preserve"> Monopolies, </w:t>
      </w:r>
      <w:r>
        <w:rPr>
          <w:rFonts w:eastAsia="Graphik Regular" w:cs="Calibri"/>
          <w:sz w:val="18"/>
          <w:szCs w:val="18"/>
          <w:lang w:val="en-US"/>
        </w:rPr>
        <w:t>state exclusivities or public concessions must be respected. Services rendered to the rest of the national territory will receive the same tax treatment as services rendered from abroad.</w:t>
      </w:r>
    </w:p>
  </w:footnote>
  <w:footnote w:id="13">
    <w:p w14:paraId="45E54247" w14:textId="77777777" w:rsidR="00E904BD" w:rsidRPr="00417AEA" w:rsidRDefault="00E904BD" w:rsidP="00E904BD">
      <w:pPr>
        <w:pStyle w:val="Textonotapie"/>
        <w:spacing w:after="60"/>
        <w:rPr>
          <w:lang w:val="en-US"/>
        </w:rPr>
      </w:pPr>
      <w:r w:rsidRPr="00154252">
        <w:rPr>
          <w:rStyle w:val="Refdenotaalpie"/>
          <w:sz w:val="18"/>
          <w:szCs w:val="18"/>
        </w:rPr>
        <w:footnoteRef/>
      </w:r>
      <w:r>
        <w:rPr>
          <w:rFonts w:eastAsia="Graphik Regular"/>
          <w:color w:val="595957"/>
          <w:sz w:val="18"/>
          <w:szCs w:val="18"/>
          <w:lang w:val="en-US"/>
        </w:rPr>
        <w:t xml:space="preserve"> </w:t>
      </w:r>
      <w:r>
        <w:rPr>
          <w:rFonts w:eastAsia="Graphik Regular" w:cs="Calibri"/>
          <w:color w:val="595957"/>
          <w:sz w:val="18"/>
          <w:szCs w:val="18"/>
          <w:lang w:val="en-US"/>
        </w:rPr>
        <w:t>Excluding those whose only or main destination is the rest of the national territory.</w:t>
      </w:r>
    </w:p>
  </w:footnote>
  <w:footnote w:id="14">
    <w:p w14:paraId="072C71F1" w14:textId="77777777" w:rsidR="00E904BD" w:rsidRPr="00417AEA" w:rsidRDefault="00E904BD" w:rsidP="00E904BD">
      <w:pPr>
        <w:pStyle w:val="Textonotapie"/>
        <w:spacing w:after="60"/>
        <w:rPr>
          <w:rFonts w:cs="Calibri"/>
          <w:sz w:val="18"/>
          <w:szCs w:val="18"/>
          <w:lang w:val="en-US"/>
        </w:rPr>
      </w:pPr>
      <w:r w:rsidRPr="00154252">
        <w:rPr>
          <w:rStyle w:val="Refdenotaalpie"/>
          <w:rFonts w:cs="Calibri"/>
          <w:sz w:val="18"/>
          <w:szCs w:val="18"/>
        </w:rPr>
        <w:footnoteRef/>
      </w:r>
      <w:r>
        <w:rPr>
          <w:rFonts w:eastAsia="Graphik Regular" w:cs="Calibri"/>
          <w:color w:val="595957"/>
          <w:sz w:val="18"/>
          <w:szCs w:val="18"/>
          <w:lang w:val="en-US"/>
        </w:rPr>
        <w:t xml:space="preserve"> Complementary activities: public relations, handling of ancillary documents, invoicing and collection of goods and services. In no case shall sales operations of goods and services be permitted.</w:t>
      </w:r>
    </w:p>
  </w:footnote>
  <w:footnote w:id="15">
    <w:p w14:paraId="4F1BDD5A" w14:textId="77777777" w:rsidR="00E904BD" w:rsidRPr="003E4103" w:rsidRDefault="00E904BD" w:rsidP="00E904BD">
      <w:pPr>
        <w:pStyle w:val="NormalWeb"/>
        <w:shd w:val="clear" w:color="auto" w:fill="FFFFFF"/>
        <w:tabs>
          <w:tab w:val="left" w:pos="709"/>
        </w:tabs>
        <w:spacing w:after="60"/>
        <w:jc w:val="both"/>
        <w:rPr>
          <w:rFonts w:ascii="Calibri" w:hAnsi="Calibri" w:cs="Calibri"/>
          <w:sz w:val="18"/>
          <w:szCs w:val="18"/>
        </w:rPr>
      </w:pPr>
      <w:r w:rsidRPr="00E904BD">
        <w:rPr>
          <w:rStyle w:val="Refdenotaalpie"/>
          <w:rFonts w:ascii="Graphik Regular" w:eastAsia="Calibri" w:hAnsi="Graphik Regular"/>
          <w:color w:val="595957"/>
          <w:sz w:val="18"/>
          <w:szCs w:val="18"/>
        </w:rPr>
        <w:footnoteRef/>
      </w:r>
      <w:r>
        <w:rPr>
          <w:rStyle w:val="Refdenotaalpie"/>
          <w:rFonts w:ascii="Graphik Regular" w:eastAsia="Graphik Regular" w:hAnsi="Graphik Regular"/>
          <w:color w:val="595957"/>
          <w:sz w:val="18"/>
          <w:szCs w:val="18"/>
          <w:lang w:val="en-US"/>
        </w:rPr>
        <w:t xml:space="preserve"> </w:t>
      </w:r>
      <w:r>
        <w:rPr>
          <w:rStyle w:val="Refdenotaalpie"/>
          <w:rFonts w:ascii="Graphik Regular" w:eastAsia="Graphik Regular" w:hAnsi="Graphik Regular" w:cs="Calibri"/>
          <w:color w:val="595957"/>
          <w:sz w:val="18"/>
          <w:szCs w:val="18"/>
          <w:lang w:val="en-US"/>
        </w:rPr>
        <w:t>In justified cases, the percentage may be increased with prior government authorization.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E1294"/>
    <w:multiLevelType w:val="hybridMultilevel"/>
    <w:tmpl w:val="EBA6D52E"/>
    <w:lvl w:ilvl="0" w:tplc="C3E825FC">
      <w:start w:val="1"/>
      <w:numFmt w:val="bullet"/>
      <w:lvlText w:val="»"/>
      <w:lvlJc w:val="left"/>
      <w:pPr>
        <w:ind w:left="720" w:hanging="360"/>
      </w:pPr>
      <w:rPr>
        <w:rFonts w:ascii="Calibri" w:hAnsi="Calibri" w:hint="default"/>
        <w:color w:val="A5A5A5" w:themeColor="accent3"/>
        <w:sz w:val="28"/>
        <w:szCs w:val="28"/>
      </w:rPr>
    </w:lvl>
    <w:lvl w:ilvl="1" w:tplc="9CA4C6FC" w:tentative="1">
      <w:start w:val="1"/>
      <w:numFmt w:val="bullet"/>
      <w:lvlText w:val="o"/>
      <w:lvlJc w:val="left"/>
      <w:pPr>
        <w:ind w:left="1440" w:hanging="360"/>
      </w:pPr>
      <w:rPr>
        <w:rFonts w:ascii="Courier New" w:hAnsi="Courier New" w:cs="Courier New" w:hint="default"/>
      </w:rPr>
    </w:lvl>
    <w:lvl w:ilvl="2" w:tplc="657220EE" w:tentative="1">
      <w:start w:val="1"/>
      <w:numFmt w:val="bullet"/>
      <w:lvlText w:val=""/>
      <w:lvlJc w:val="left"/>
      <w:pPr>
        <w:ind w:left="2160" w:hanging="360"/>
      </w:pPr>
      <w:rPr>
        <w:rFonts w:ascii="Wingdings" w:hAnsi="Wingdings" w:hint="default"/>
      </w:rPr>
    </w:lvl>
    <w:lvl w:ilvl="3" w:tplc="D26AEB56" w:tentative="1">
      <w:start w:val="1"/>
      <w:numFmt w:val="bullet"/>
      <w:lvlText w:val=""/>
      <w:lvlJc w:val="left"/>
      <w:pPr>
        <w:ind w:left="2880" w:hanging="360"/>
      </w:pPr>
      <w:rPr>
        <w:rFonts w:ascii="Symbol" w:hAnsi="Symbol" w:hint="default"/>
      </w:rPr>
    </w:lvl>
    <w:lvl w:ilvl="4" w:tplc="DADA7CFE" w:tentative="1">
      <w:start w:val="1"/>
      <w:numFmt w:val="bullet"/>
      <w:lvlText w:val="o"/>
      <w:lvlJc w:val="left"/>
      <w:pPr>
        <w:ind w:left="3600" w:hanging="360"/>
      </w:pPr>
      <w:rPr>
        <w:rFonts w:ascii="Courier New" w:hAnsi="Courier New" w:cs="Courier New" w:hint="default"/>
      </w:rPr>
    </w:lvl>
    <w:lvl w:ilvl="5" w:tplc="98383646" w:tentative="1">
      <w:start w:val="1"/>
      <w:numFmt w:val="bullet"/>
      <w:lvlText w:val=""/>
      <w:lvlJc w:val="left"/>
      <w:pPr>
        <w:ind w:left="4320" w:hanging="360"/>
      </w:pPr>
      <w:rPr>
        <w:rFonts w:ascii="Wingdings" w:hAnsi="Wingdings" w:hint="default"/>
      </w:rPr>
    </w:lvl>
    <w:lvl w:ilvl="6" w:tplc="88B04922" w:tentative="1">
      <w:start w:val="1"/>
      <w:numFmt w:val="bullet"/>
      <w:lvlText w:val=""/>
      <w:lvlJc w:val="left"/>
      <w:pPr>
        <w:ind w:left="5040" w:hanging="360"/>
      </w:pPr>
      <w:rPr>
        <w:rFonts w:ascii="Symbol" w:hAnsi="Symbol" w:hint="default"/>
      </w:rPr>
    </w:lvl>
    <w:lvl w:ilvl="7" w:tplc="183C32C0" w:tentative="1">
      <w:start w:val="1"/>
      <w:numFmt w:val="bullet"/>
      <w:lvlText w:val="o"/>
      <w:lvlJc w:val="left"/>
      <w:pPr>
        <w:ind w:left="5760" w:hanging="360"/>
      </w:pPr>
      <w:rPr>
        <w:rFonts w:ascii="Courier New" w:hAnsi="Courier New" w:cs="Courier New" w:hint="default"/>
      </w:rPr>
    </w:lvl>
    <w:lvl w:ilvl="8" w:tplc="545CA172" w:tentative="1">
      <w:start w:val="1"/>
      <w:numFmt w:val="bullet"/>
      <w:lvlText w:val=""/>
      <w:lvlJc w:val="left"/>
      <w:pPr>
        <w:ind w:left="6480" w:hanging="360"/>
      </w:pPr>
      <w:rPr>
        <w:rFonts w:ascii="Wingdings" w:hAnsi="Wingdings" w:hint="default"/>
      </w:rPr>
    </w:lvl>
  </w:abstractNum>
  <w:abstractNum w:abstractNumId="1" w15:restartNumberingAfterBreak="0">
    <w:nsid w:val="0A784BD2"/>
    <w:multiLevelType w:val="hybridMultilevel"/>
    <w:tmpl w:val="F5FA0DAA"/>
    <w:lvl w:ilvl="0" w:tplc="E7C2C0CE">
      <w:start w:val="1"/>
      <w:numFmt w:val="bullet"/>
      <w:lvlText w:val="»"/>
      <w:lvlJc w:val="left"/>
      <w:pPr>
        <w:ind w:left="720" w:hanging="360"/>
      </w:pPr>
      <w:rPr>
        <w:rFonts w:ascii="Calibri" w:hAnsi="Calibri" w:hint="default"/>
        <w:color w:val="A5A5A5" w:themeColor="accent3"/>
        <w:sz w:val="28"/>
        <w:szCs w:val="28"/>
      </w:rPr>
    </w:lvl>
    <w:lvl w:ilvl="1" w:tplc="33EE9A1A" w:tentative="1">
      <w:start w:val="1"/>
      <w:numFmt w:val="bullet"/>
      <w:lvlText w:val="o"/>
      <w:lvlJc w:val="left"/>
      <w:pPr>
        <w:ind w:left="1440" w:hanging="360"/>
      </w:pPr>
      <w:rPr>
        <w:rFonts w:ascii="Courier New" w:hAnsi="Courier New" w:cs="Courier New" w:hint="default"/>
      </w:rPr>
    </w:lvl>
    <w:lvl w:ilvl="2" w:tplc="8832907E" w:tentative="1">
      <w:start w:val="1"/>
      <w:numFmt w:val="bullet"/>
      <w:lvlText w:val=""/>
      <w:lvlJc w:val="left"/>
      <w:pPr>
        <w:ind w:left="2160" w:hanging="360"/>
      </w:pPr>
      <w:rPr>
        <w:rFonts w:ascii="Wingdings" w:hAnsi="Wingdings" w:hint="default"/>
      </w:rPr>
    </w:lvl>
    <w:lvl w:ilvl="3" w:tplc="A8E86D36" w:tentative="1">
      <w:start w:val="1"/>
      <w:numFmt w:val="bullet"/>
      <w:lvlText w:val=""/>
      <w:lvlJc w:val="left"/>
      <w:pPr>
        <w:ind w:left="2880" w:hanging="360"/>
      </w:pPr>
      <w:rPr>
        <w:rFonts w:ascii="Symbol" w:hAnsi="Symbol" w:hint="default"/>
      </w:rPr>
    </w:lvl>
    <w:lvl w:ilvl="4" w:tplc="35541DB0" w:tentative="1">
      <w:start w:val="1"/>
      <w:numFmt w:val="bullet"/>
      <w:lvlText w:val="o"/>
      <w:lvlJc w:val="left"/>
      <w:pPr>
        <w:ind w:left="3600" w:hanging="360"/>
      </w:pPr>
      <w:rPr>
        <w:rFonts w:ascii="Courier New" w:hAnsi="Courier New" w:cs="Courier New" w:hint="default"/>
      </w:rPr>
    </w:lvl>
    <w:lvl w:ilvl="5" w:tplc="6E8C6664" w:tentative="1">
      <w:start w:val="1"/>
      <w:numFmt w:val="bullet"/>
      <w:lvlText w:val=""/>
      <w:lvlJc w:val="left"/>
      <w:pPr>
        <w:ind w:left="4320" w:hanging="360"/>
      </w:pPr>
      <w:rPr>
        <w:rFonts w:ascii="Wingdings" w:hAnsi="Wingdings" w:hint="default"/>
      </w:rPr>
    </w:lvl>
    <w:lvl w:ilvl="6" w:tplc="9EE8C0C6" w:tentative="1">
      <w:start w:val="1"/>
      <w:numFmt w:val="bullet"/>
      <w:lvlText w:val=""/>
      <w:lvlJc w:val="left"/>
      <w:pPr>
        <w:ind w:left="5040" w:hanging="360"/>
      </w:pPr>
      <w:rPr>
        <w:rFonts w:ascii="Symbol" w:hAnsi="Symbol" w:hint="default"/>
      </w:rPr>
    </w:lvl>
    <w:lvl w:ilvl="7" w:tplc="00A27F36" w:tentative="1">
      <w:start w:val="1"/>
      <w:numFmt w:val="bullet"/>
      <w:lvlText w:val="o"/>
      <w:lvlJc w:val="left"/>
      <w:pPr>
        <w:ind w:left="5760" w:hanging="360"/>
      </w:pPr>
      <w:rPr>
        <w:rFonts w:ascii="Courier New" w:hAnsi="Courier New" w:cs="Courier New" w:hint="default"/>
      </w:rPr>
    </w:lvl>
    <w:lvl w:ilvl="8" w:tplc="E29C3FB4" w:tentative="1">
      <w:start w:val="1"/>
      <w:numFmt w:val="bullet"/>
      <w:lvlText w:val=""/>
      <w:lvlJc w:val="left"/>
      <w:pPr>
        <w:ind w:left="6480" w:hanging="360"/>
      </w:pPr>
      <w:rPr>
        <w:rFonts w:ascii="Wingdings" w:hAnsi="Wingdings" w:hint="default"/>
      </w:rPr>
    </w:lvl>
  </w:abstractNum>
  <w:abstractNum w:abstractNumId="2" w15:restartNumberingAfterBreak="0">
    <w:nsid w:val="1ADF0B65"/>
    <w:multiLevelType w:val="hybridMultilevel"/>
    <w:tmpl w:val="ABE2787E"/>
    <w:lvl w:ilvl="0" w:tplc="20E07522">
      <w:start w:val="1"/>
      <w:numFmt w:val="bullet"/>
      <w:lvlText w:val=""/>
      <w:lvlJc w:val="left"/>
      <w:pPr>
        <w:ind w:left="720" w:hanging="360"/>
      </w:pPr>
      <w:rPr>
        <w:rFonts w:ascii="Symbol" w:hAnsi="Symbol" w:hint="default"/>
        <w:color w:val="auto"/>
      </w:rPr>
    </w:lvl>
    <w:lvl w:ilvl="1" w:tplc="2E6686A2">
      <w:start w:val="1"/>
      <w:numFmt w:val="bullet"/>
      <w:lvlText w:val="»"/>
      <w:lvlJc w:val="left"/>
      <w:pPr>
        <w:ind w:left="1440" w:hanging="360"/>
      </w:pPr>
      <w:rPr>
        <w:rFonts w:ascii="Calibri" w:hAnsi="Calibri" w:hint="default"/>
        <w:color w:val="A5A5A5" w:themeColor="accent3"/>
        <w:kern w:val="16"/>
        <w:sz w:val="28"/>
        <w:szCs w:val="28"/>
        <w14:ligatures w14:val="standard"/>
        <w14:numSpacing w14:val="default"/>
      </w:rPr>
    </w:lvl>
    <w:lvl w:ilvl="2" w:tplc="9EB4E094">
      <w:start w:val="1"/>
      <w:numFmt w:val="bullet"/>
      <w:lvlText w:val=""/>
      <w:lvlJc w:val="left"/>
      <w:pPr>
        <w:ind w:left="2160" w:hanging="360"/>
      </w:pPr>
      <w:rPr>
        <w:rFonts w:ascii="Wingdings" w:hAnsi="Wingdings" w:hint="default"/>
      </w:rPr>
    </w:lvl>
    <w:lvl w:ilvl="3" w:tplc="16807C86" w:tentative="1">
      <w:start w:val="1"/>
      <w:numFmt w:val="bullet"/>
      <w:lvlText w:val=""/>
      <w:lvlJc w:val="left"/>
      <w:pPr>
        <w:ind w:left="2880" w:hanging="360"/>
      </w:pPr>
      <w:rPr>
        <w:rFonts w:ascii="Symbol" w:hAnsi="Symbol" w:hint="default"/>
      </w:rPr>
    </w:lvl>
    <w:lvl w:ilvl="4" w:tplc="C44AD14C" w:tentative="1">
      <w:start w:val="1"/>
      <w:numFmt w:val="bullet"/>
      <w:lvlText w:val="o"/>
      <w:lvlJc w:val="left"/>
      <w:pPr>
        <w:ind w:left="3600" w:hanging="360"/>
      </w:pPr>
      <w:rPr>
        <w:rFonts w:ascii="Courier New" w:hAnsi="Courier New" w:cs="Courier New" w:hint="default"/>
      </w:rPr>
    </w:lvl>
    <w:lvl w:ilvl="5" w:tplc="CC1E363C" w:tentative="1">
      <w:start w:val="1"/>
      <w:numFmt w:val="bullet"/>
      <w:lvlText w:val=""/>
      <w:lvlJc w:val="left"/>
      <w:pPr>
        <w:ind w:left="4320" w:hanging="360"/>
      </w:pPr>
      <w:rPr>
        <w:rFonts w:ascii="Wingdings" w:hAnsi="Wingdings" w:hint="default"/>
      </w:rPr>
    </w:lvl>
    <w:lvl w:ilvl="6" w:tplc="08FE3BE4" w:tentative="1">
      <w:start w:val="1"/>
      <w:numFmt w:val="bullet"/>
      <w:lvlText w:val=""/>
      <w:lvlJc w:val="left"/>
      <w:pPr>
        <w:ind w:left="5040" w:hanging="360"/>
      </w:pPr>
      <w:rPr>
        <w:rFonts w:ascii="Symbol" w:hAnsi="Symbol" w:hint="default"/>
      </w:rPr>
    </w:lvl>
    <w:lvl w:ilvl="7" w:tplc="F39437F2" w:tentative="1">
      <w:start w:val="1"/>
      <w:numFmt w:val="bullet"/>
      <w:lvlText w:val="o"/>
      <w:lvlJc w:val="left"/>
      <w:pPr>
        <w:ind w:left="5760" w:hanging="360"/>
      </w:pPr>
      <w:rPr>
        <w:rFonts w:ascii="Courier New" w:hAnsi="Courier New" w:cs="Courier New" w:hint="default"/>
      </w:rPr>
    </w:lvl>
    <w:lvl w:ilvl="8" w:tplc="8FAE7512" w:tentative="1">
      <w:start w:val="1"/>
      <w:numFmt w:val="bullet"/>
      <w:lvlText w:val=""/>
      <w:lvlJc w:val="left"/>
      <w:pPr>
        <w:ind w:left="6480" w:hanging="360"/>
      </w:pPr>
      <w:rPr>
        <w:rFonts w:ascii="Wingdings" w:hAnsi="Wingdings" w:hint="default"/>
      </w:rPr>
    </w:lvl>
  </w:abstractNum>
  <w:abstractNum w:abstractNumId="3" w15:restartNumberingAfterBreak="0">
    <w:nsid w:val="3A58719E"/>
    <w:multiLevelType w:val="hybridMultilevel"/>
    <w:tmpl w:val="15801BF6"/>
    <w:lvl w:ilvl="0" w:tplc="2732256E">
      <w:start w:val="1"/>
      <w:numFmt w:val="bullet"/>
      <w:lvlText w:val="»"/>
      <w:lvlJc w:val="left"/>
      <w:pPr>
        <w:ind w:left="720" w:hanging="360"/>
      </w:pPr>
      <w:rPr>
        <w:rFonts w:ascii="Calibri" w:hAnsi="Calibri" w:hint="default"/>
        <w:b/>
        <w:color w:val="A5A5A5" w:themeColor="accent3"/>
        <w:sz w:val="28"/>
        <w:szCs w:val="28"/>
      </w:rPr>
    </w:lvl>
    <w:lvl w:ilvl="1" w:tplc="36640B0C" w:tentative="1">
      <w:start w:val="1"/>
      <w:numFmt w:val="bullet"/>
      <w:lvlText w:val="o"/>
      <w:lvlJc w:val="left"/>
      <w:pPr>
        <w:ind w:left="1440" w:hanging="360"/>
      </w:pPr>
      <w:rPr>
        <w:rFonts w:ascii="Courier New" w:hAnsi="Courier New" w:cs="Courier New" w:hint="default"/>
      </w:rPr>
    </w:lvl>
    <w:lvl w:ilvl="2" w:tplc="2C2C1780" w:tentative="1">
      <w:start w:val="1"/>
      <w:numFmt w:val="bullet"/>
      <w:lvlText w:val=""/>
      <w:lvlJc w:val="left"/>
      <w:pPr>
        <w:ind w:left="2160" w:hanging="360"/>
      </w:pPr>
      <w:rPr>
        <w:rFonts w:ascii="Wingdings" w:hAnsi="Wingdings" w:hint="default"/>
      </w:rPr>
    </w:lvl>
    <w:lvl w:ilvl="3" w:tplc="0AC8E68A" w:tentative="1">
      <w:start w:val="1"/>
      <w:numFmt w:val="bullet"/>
      <w:lvlText w:val=""/>
      <w:lvlJc w:val="left"/>
      <w:pPr>
        <w:ind w:left="2880" w:hanging="360"/>
      </w:pPr>
      <w:rPr>
        <w:rFonts w:ascii="Symbol" w:hAnsi="Symbol" w:hint="default"/>
      </w:rPr>
    </w:lvl>
    <w:lvl w:ilvl="4" w:tplc="F8160F3A" w:tentative="1">
      <w:start w:val="1"/>
      <w:numFmt w:val="bullet"/>
      <w:lvlText w:val="o"/>
      <w:lvlJc w:val="left"/>
      <w:pPr>
        <w:ind w:left="3600" w:hanging="360"/>
      </w:pPr>
      <w:rPr>
        <w:rFonts w:ascii="Courier New" w:hAnsi="Courier New" w:cs="Courier New" w:hint="default"/>
      </w:rPr>
    </w:lvl>
    <w:lvl w:ilvl="5" w:tplc="63D0A918" w:tentative="1">
      <w:start w:val="1"/>
      <w:numFmt w:val="bullet"/>
      <w:lvlText w:val=""/>
      <w:lvlJc w:val="left"/>
      <w:pPr>
        <w:ind w:left="4320" w:hanging="360"/>
      </w:pPr>
      <w:rPr>
        <w:rFonts w:ascii="Wingdings" w:hAnsi="Wingdings" w:hint="default"/>
      </w:rPr>
    </w:lvl>
    <w:lvl w:ilvl="6" w:tplc="7ACE8EC4" w:tentative="1">
      <w:start w:val="1"/>
      <w:numFmt w:val="bullet"/>
      <w:lvlText w:val=""/>
      <w:lvlJc w:val="left"/>
      <w:pPr>
        <w:ind w:left="5040" w:hanging="360"/>
      </w:pPr>
      <w:rPr>
        <w:rFonts w:ascii="Symbol" w:hAnsi="Symbol" w:hint="default"/>
      </w:rPr>
    </w:lvl>
    <w:lvl w:ilvl="7" w:tplc="7DA6CCFC" w:tentative="1">
      <w:start w:val="1"/>
      <w:numFmt w:val="bullet"/>
      <w:lvlText w:val="o"/>
      <w:lvlJc w:val="left"/>
      <w:pPr>
        <w:ind w:left="5760" w:hanging="360"/>
      </w:pPr>
      <w:rPr>
        <w:rFonts w:ascii="Courier New" w:hAnsi="Courier New" w:cs="Courier New" w:hint="default"/>
      </w:rPr>
    </w:lvl>
    <w:lvl w:ilvl="8" w:tplc="7F488178" w:tentative="1">
      <w:start w:val="1"/>
      <w:numFmt w:val="bullet"/>
      <w:lvlText w:val=""/>
      <w:lvlJc w:val="left"/>
      <w:pPr>
        <w:ind w:left="6480" w:hanging="360"/>
      </w:pPr>
      <w:rPr>
        <w:rFonts w:ascii="Wingdings" w:hAnsi="Wingdings" w:hint="default"/>
      </w:rPr>
    </w:lvl>
  </w:abstractNum>
  <w:abstractNum w:abstractNumId="4" w15:restartNumberingAfterBreak="0">
    <w:nsid w:val="418D76F9"/>
    <w:multiLevelType w:val="hybridMultilevel"/>
    <w:tmpl w:val="042ECF88"/>
    <w:lvl w:ilvl="0" w:tplc="627CBE96">
      <w:start w:val="1"/>
      <w:numFmt w:val="bullet"/>
      <w:lvlText w:val="»"/>
      <w:lvlJc w:val="left"/>
      <w:pPr>
        <w:ind w:left="720" w:hanging="360"/>
      </w:pPr>
      <w:rPr>
        <w:rFonts w:ascii="ChunkFive Roman" w:hAnsi="ChunkFive Roman" w:hint="default"/>
        <w:color w:val="5B9BD5" w:themeColor="accent5"/>
        <w:sz w:val="24"/>
        <w:szCs w:val="32"/>
      </w:rPr>
    </w:lvl>
    <w:lvl w:ilvl="1" w:tplc="F7144DCA" w:tentative="1">
      <w:start w:val="1"/>
      <w:numFmt w:val="bullet"/>
      <w:lvlText w:val="o"/>
      <w:lvlJc w:val="left"/>
      <w:pPr>
        <w:ind w:left="1440" w:hanging="360"/>
      </w:pPr>
      <w:rPr>
        <w:rFonts w:ascii="Courier New" w:hAnsi="Courier New" w:cs="Courier New" w:hint="default"/>
      </w:rPr>
    </w:lvl>
    <w:lvl w:ilvl="2" w:tplc="C2CCAD90">
      <w:start w:val="1"/>
      <w:numFmt w:val="bullet"/>
      <w:lvlText w:val="»"/>
      <w:lvlJc w:val="left"/>
      <w:pPr>
        <w:ind w:left="2160" w:hanging="360"/>
      </w:pPr>
      <w:rPr>
        <w:rFonts w:ascii="ChunkFive Roman" w:hAnsi="ChunkFive Roman" w:hint="default"/>
        <w:color w:val="5B9BD5" w:themeColor="accent5"/>
        <w:sz w:val="24"/>
        <w:szCs w:val="32"/>
      </w:rPr>
    </w:lvl>
    <w:lvl w:ilvl="3" w:tplc="08BEC1D4" w:tentative="1">
      <w:start w:val="1"/>
      <w:numFmt w:val="bullet"/>
      <w:lvlText w:val=""/>
      <w:lvlJc w:val="left"/>
      <w:pPr>
        <w:ind w:left="2880" w:hanging="360"/>
      </w:pPr>
      <w:rPr>
        <w:rFonts w:ascii="Symbol" w:hAnsi="Symbol" w:hint="default"/>
      </w:rPr>
    </w:lvl>
    <w:lvl w:ilvl="4" w:tplc="9DD212A8" w:tentative="1">
      <w:start w:val="1"/>
      <w:numFmt w:val="bullet"/>
      <w:lvlText w:val="o"/>
      <w:lvlJc w:val="left"/>
      <w:pPr>
        <w:ind w:left="3600" w:hanging="360"/>
      </w:pPr>
      <w:rPr>
        <w:rFonts w:ascii="Courier New" w:hAnsi="Courier New" w:cs="Courier New" w:hint="default"/>
      </w:rPr>
    </w:lvl>
    <w:lvl w:ilvl="5" w:tplc="30546E66" w:tentative="1">
      <w:start w:val="1"/>
      <w:numFmt w:val="bullet"/>
      <w:lvlText w:val=""/>
      <w:lvlJc w:val="left"/>
      <w:pPr>
        <w:ind w:left="4320" w:hanging="360"/>
      </w:pPr>
      <w:rPr>
        <w:rFonts w:ascii="Wingdings" w:hAnsi="Wingdings" w:hint="default"/>
      </w:rPr>
    </w:lvl>
    <w:lvl w:ilvl="6" w:tplc="BE9619DA" w:tentative="1">
      <w:start w:val="1"/>
      <w:numFmt w:val="bullet"/>
      <w:lvlText w:val=""/>
      <w:lvlJc w:val="left"/>
      <w:pPr>
        <w:ind w:left="5040" w:hanging="360"/>
      </w:pPr>
      <w:rPr>
        <w:rFonts w:ascii="Symbol" w:hAnsi="Symbol" w:hint="default"/>
      </w:rPr>
    </w:lvl>
    <w:lvl w:ilvl="7" w:tplc="097AEC86" w:tentative="1">
      <w:start w:val="1"/>
      <w:numFmt w:val="bullet"/>
      <w:lvlText w:val="o"/>
      <w:lvlJc w:val="left"/>
      <w:pPr>
        <w:ind w:left="5760" w:hanging="360"/>
      </w:pPr>
      <w:rPr>
        <w:rFonts w:ascii="Courier New" w:hAnsi="Courier New" w:cs="Courier New" w:hint="default"/>
      </w:rPr>
    </w:lvl>
    <w:lvl w:ilvl="8" w:tplc="83085E78" w:tentative="1">
      <w:start w:val="1"/>
      <w:numFmt w:val="bullet"/>
      <w:lvlText w:val=""/>
      <w:lvlJc w:val="left"/>
      <w:pPr>
        <w:ind w:left="6480" w:hanging="360"/>
      </w:pPr>
      <w:rPr>
        <w:rFonts w:ascii="Wingdings" w:hAnsi="Wingdings" w:hint="default"/>
      </w:rPr>
    </w:lvl>
  </w:abstractNum>
  <w:abstractNum w:abstractNumId="5" w15:restartNumberingAfterBreak="0">
    <w:nsid w:val="45504D2F"/>
    <w:multiLevelType w:val="hybridMultilevel"/>
    <w:tmpl w:val="79986090"/>
    <w:lvl w:ilvl="0" w:tplc="5E508678">
      <w:start w:val="1"/>
      <w:numFmt w:val="bullet"/>
      <w:lvlText w:val="»"/>
      <w:lvlJc w:val="left"/>
      <w:pPr>
        <w:ind w:left="720" w:hanging="360"/>
      </w:pPr>
      <w:rPr>
        <w:rFonts w:ascii="ChunkFive Roman" w:hAnsi="ChunkFive Roman" w:hint="default"/>
        <w:color w:val="5B9BD5" w:themeColor="accent5"/>
        <w:sz w:val="24"/>
        <w:szCs w:val="32"/>
      </w:rPr>
    </w:lvl>
    <w:lvl w:ilvl="1" w:tplc="378C62CA" w:tentative="1">
      <w:start w:val="1"/>
      <w:numFmt w:val="bullet"/>
      <w:lvlText w:val="o"/>
      <w:lvlJc w:val="left"/>
      <w:pPr>
        <w:ind w:left="1440" w:hanging="360"/>
      </w:pPr>
      <w:rPr>
        <w:rFonts w:ascii="Courier New" w:hAnsi="Courier New" w:cs="Courier New" w:hint="default"/>
      </w:rPr>
    </w:lvl>
    <w:lvl w:ilvl="2" w:tplc="53C8A668" w:tentative="1">
      <w:start w:val="1"/>
      <w:numFmt w:val="bullet"/>
      <w:lvlText w:val=""/>
      <w:lvlJc w:val="left"/>
      <w:pPr>
        <w:ind w:left="2160" w:hanging="360"/>
      </w:pPr>
      <w:rPr>
        <w:rFonts w:ascii="Wingdings" w:hAnsi="Wingdings" w:hint="default"/>
      </w:rPr>
    </w:lvl>
    <w:lvl w:ilvl="3" w:tplc="50809F86" w:tentative="1">
      <w:start w:val="1"/>
      <w:numFmt w:val="bullet"/>
      <w:lvlText w:val=""/>
      <w:lvlJc w:val="left"/>
      <w:pPr>
        <w:ind w:left="2880" w:hanging="360"/>
      </w:pPr>
      <w:rPr>
        <w:rFonts w:ascii="Symbol" w:hAnsi="Symbol" w:hint="default"/>
      </w:rPr>
    </w:lvl>
    <w:lvl w:ilvl="4" w:tplc="57BC338E" w:tentative="1">
      <w:start w:val="1"/>
      <w:numFmt w:val="bullet"/>
      <w:lvlText w:val="o"/>
      <w:lvlJc w:val="left"/>
      <w:pPr>
        <w:ind w:left="3600" w:hanging="360"/>
      </w:pPr>
      <w:rPr>
        <w:rFonts w:ascii="Courier New" w:hAnsi="Courier New" w:cs="Courier New" w:hint="default"/>
      </w:rPr>
    </w:lvl>
    <w:lvl w:ilvl="5" w:tplc="34786746" w:tentative="1">
      <w:start w:val="1"/>
      <w:numFmt w:val="bullet"/>
      <w:lvlText w:val=""/>
      <w:lvlJc w:val="left"/>
      <w:pPr>
        <w:ind w:left="4320" w:hanging="360"/>
      </w:pPr>
      <w:rPr>
        <w:rFonts w:ascii="Wingdings" w:hAnsi="Wingdings" w:hint="default"/>
      </w:rPr>
    </w:lvl>
    <w:lvl w:ilvl="6" w:tplc="5EFEC804" w:tentative="1">
      <w:start w:val="1"/>
      <w:numFmt w:val="bullet"/>
      <w:lvlText w:val=""/>
      <w:lvlJc w:val="left"/>
      <w:pPr>
        <w:ind w:left="5040" w:hanging="360"/>
      </w:pPr>
      <w:rPr>
        <w:rFonts w:ascii="Symbol" w:hAnsi="Symbol" w:hint="default"/>
      </w:rPr>
    </w:lvl>
    <w:lvl w:ilvl="7" w:tplc="E030111C" w:tentative="1">
      <w:start w:val="1"/>
      <w:numFmt w:val="bullet"/>
      <w:lvlText w:val="o"/>
      <w:lvlJc w:val="left"/>
      <w:pPr>
        <w:ind w:left="5760" w:hanging="360"/>
      </w:pPr>
      <w:rPr>
        <w:rFonts w:ascii="Courier New" w:hAnsi="Courier New" w:cs="Courier New" w:hint="default"/>
      </w:rPr>
    </w:lvl>
    <w:lvl w:ilvl="8" w:tplc="B7FCE86A" w:tentative="1">
      <w:start w:val="1"/>
      <w:numFmt w:val="bullet"/>
      <w:lvlText w:val=""/>
      <w:lvlJc w:val="left"/>
      <w:pPr>
        <w:ind w:left="6480" w:hanging="360"/>
      </w:pPr>
      <w:rPr>
        <w:rFonts w:ascii="Wingdings" w:hAnsi="Wingdings" w:hint="default"/>
      </w:rPr>
    </w:lvl>
  </w:abstractNum>
  <w:abstractNum w:abstractNumId="6" w15:restartNumberingAfterBreak="0">
    <w:nsid w:val="4AE73385"/>
    <w:multiLevelType w:val="hybridMultilevel"/>
    <w:tmpl w:val="559A7178"/>
    <w:lvl w:ilvl="0" w:tplc="B860E90C">
      <w:start w:val="1"/>
      <w:numFmt w:val="bullet"/>
      <w:lvlText w:val="»"/>
      <w:lvlJc w:val="left"/>
      <w:pPr>
        <w:ind w:left="720" w:hanging="360"/>
      </w:pPr>
      <w:rPr>
        <w:rFonts w:ascii="Calibri" w:hAnsi="Calibri" w:hint="default"/>
        <w:color w:val="A5A5A5" w:themeColor="accent3"/>
        <w:sz w:val="28"/>
        <w:szCs w:val="28"/>
      </w:rPr>
    </w:lvl>
    <w:lvl w:ilvl="1" w:tplc="0C74340A" w:tentative="1">
      <w:start w:val="1"/>
      <w:numFmt w:val="bullet"/>
      <w:lvlText w:val="o"/>
      <w:lvlJc w:val="left"/>
      <w:pPr>
        <w:ind w:left="1440" w:hanging="360"/>
      </w:pPr>
      <w:rPr>
        <w:rFonts w:ascii="Courier New" w:hAnsi="Courier New" w:cs="Courier New" w:hint="default"/>
      </w:rPr>
    </w:lvl>
    <w:lvl w:ilvl="2" w:tplc="B57C000C" w:tentative="1">
      <w:start w:val="1"/>
      <w:numFmt w:val="bullet"/>
      <w:lvlText w:val=""/>
      <w:lvlJc w:val="left"/>
      <w:pPr>
        <w:ind w:left="2160" w:hanging="360"/>
      </w:pPr>
      <w:rPr>
        <w:rFonts w:ascii="Wingdings" w:hAnsi="Wingdings" w:hint="default"/>
      </w:rPr>
    </w:lvl>
    <w:lvl w:ilvl="3" w:tplc="47249A22" w:tentative="1">
      <w:start w:val="1"/>
      <w:numFmt w:val="bullet"/>
      <w:lvlText w:val=""/>
      <w:lvlJc w:val="left"/>
      <w:pPr>
        <w:ind w:left="2880" w:hanging="360"/>
      </w:pPr>
      <w:rPr>
        <w:rFonts w:ascii="Symbol" w:hAnsi="Symbol" w:hint="default"/>
      </w:rPr>
    </w:lvl>
    <w:lvl w:ilvl="4" w:tplc="BAC00476" w:tentative="1">
      <w:start w:val="1"/>
      <w:numFmt w:val="bullet"/>
      <w:lvlText w:val="o"/>
      <w:lvlJc w:val="left"/>
      <w:pPr>
        <w:ind w:left="3600" w:hanging="360"/>
      </w:pPr>
      <w:rPr>
        <w:rFonts w:ascii="Courier New" w:hAnsi="Courier New" w:cs="Courier New" w:hint="default"/>
      </w:rPr>
    </w:lvl>
    <w:lvl w:ilvl="5" w:tplc="8626E558" w:tentative="1">
      <w:start w:val="1"/>
      <w:numFmt w:val="bullet"/>
      <w:lvlText w:val=""/>
      <w:lvlJc w:val="left"/>
      <w:pPr>
        <w:ind w:left="4320" w:hanging="360"/>
      </w:pPr>
      <w:rPr>
        <w:rFonts w:ascii="Wingdings" w:hAnsi="Wingdings" w:hint="default"/>
      </w:rPr>
    </w:lvl>
    <w:lvl w:ilvl="6" w:tplc="0BAC1AFC" w:tentative="1">
      <w:start w:val="1"/>
      <w:numFmt w:val="bullet"/>
      <w:lvlText w:val=""/>
      <w:lvlJc w:val="left"/>
      <w:pPr>
        <w:ind w:left="5040" w:hanging="360"/>
      </w:pPr>
      <w:rPr>
        <w:rFonts w:ascii="Symbol" w:hAnsi="Symbol" w:hint="default"/>
      </w:rPr>
    </w:lvl>
    <w:lvl w:ilvl="7" w:tplc="B2BC6B68" w:tentative="1">
      <w:start w:val="1"/>
      <w:numFmt w:val="bullet"/>
      <w:lvlText w:val="o"/>
      <w:lvlJc w:val="left"/>
      <w:pPr>
        <w:ind w:left="5760" w:hanging="360"/>
      </w:pPr>
      <w:rPr>
        <w:rFonts w:ascii="Courier New" w:hAnsi="Courier New" w:cs="Courier New" w:hint="default"/>
      </w:rPr>
    </w:lvl>
    <w:lvl w:ilvl="8" w:tplc="0C4043B4" w:tentative="1">
      <w:start w:val="1"/>
      <w:numFmt w:val="bullet"/>
      <w:lvlText w:val=""/>
      <w:lvlJc w:val="left"/>
      <w:pPr>
        <w:ind w:left="6480" w:hanging="360"/>
      </w:pPr>
      <w:rPr>
        <w:rFonts w:ascii="Wingdings" w:hAnsi="Wingdings" w:hint="default"/>
      </w:rPr>
    </w:lvl>
  </w:abstractNum>
  <w:abstractNum w:abstractNumId="7" w15:restartNumberingAfterBreak="0">
    <w:nsid w:val="4DA275AF"/>
    <w:multiLevelType w:val="hybridMultilevel"/>
    <w:tmpl w:val="A3C89B7E"/>
    <w:lvl w:ilvl="0" w:tplc="FDD452AC">
      <w:start w:val="1"/>
      <w:numFmt w:val="bullet"/>
      <w:lvlText w:val="»"/>
      <w:lvlJc w:val="left"/>
      <w:pPr>
        <w:ind w:left="720" w:hanging="360"/>
      </w:pPr>
      <w:rPr>
        <w:rFonts w:ascii="ChunkFive Roman" w:hAnsi="ChunkFive Roman" w:hint="default"/>
        <w:color w:val="5B9BD5" w:themeColor="accent5"/>
        <w:sz w:val="24"/>
        <w:szCs w:val="32"/>
      </w:rPr>
    </w:lvl>
    <w:lvl w:ilvl="1" w:tplc="EE7CACFE">
      <w:start w:val="1"/>
      <w:numFmt w:val="bullet"/>
      <w:lvlText w:val=""/>
      <w:lvlJc w:val="left"/>
      <w:pPr>
        <w:ind w:left="1440" w:hanging="360"/>
      </w:pPr>
      <w:rPr>
        <w:rFonts w:ascii="Symbol" w:hAnsi="Symbol" w:hint="default"/>
        <w:color w:val="FFFF00"/>
      </w:rPr>
    </w:lvl>
    <w:lvl w:ilvl="2" w:tplc="24789D48">
      <w:start w:val="1"/>
      <w:numFmt w:val="bullet"/>
      <w:lvlText w:val=""/>
      <w:lvlJc w:val="left"/>
      <w:pPr>
        <w:ind w:left="2160" w:hanging="360"/>
      </w:pPr>
      <w:rPr>
        <w:rFonts w:ascii="Wingdings" w:hAnsi="Wingdings" w:hint="default"/>
      </w:rPr>
    </w:lvl>
    <w:lvl w:ilvl="3" w:tplc="7FCE7FDC" w:tentative="1">
      <w:start w:val="1"/>
      <w:numFmt w:val="bullet"/>
      <w:lvlText w:val=""/>
      <w:lvlJc w:val="left"/>
      <w:pPr>
        <w:ind w:left="2880" w:hanging="360"/>
      </w:pPr>
      <w:rPr>
        <w:rFonts w:ascii="Symbol" w:hAnsi="Symbol" w:hint="default"/>
      </w:rPr>
    </w:lvl>
    <w:lvl w:ilvl="4" w:tplc="9D1E1EE8" w:tentative="1">
      <w:start w:val="1"/>
      <w:numFmt w:val="bullet"/>
      <w:lvlText w:val="o"/>
      <w:lvlJc w:val="left"/>
      <w:pPr>
        <w:ind w:left="3600" w:hanging="360"/>
      </w:pPr>
      <w:rPr>
        <w:rFonts w:ascii="Courier New" w:hAnsi="Courier New" w:cs="Courier New" w:hint="default"/>
      </w:rPr>
    </w:lvl>
    <w:lvl w:ilvl="5" w:tplc="F2AC5FD4" w:tentative="1">
      <w:start w:val="1"/>
      <w:numFmt w:val="bullet"/>
      <w:lvlText w:val=""/>
      <w:lvlJc w:val="left"/>
      <w:pPr>
        <w:ind w:left="4320" w:hanging="360"/>
      </w:pPr>
      <w:rPr>
        <w:rFonts w:ascii="Wingdings" w:hAnsi="Wingdings" w:hint="default"/>
      </w:rPr>
    </w:lvl>
    <w:lvl w:ilvl="6" w:tplc="D0FE41F2" w:tentative="1">
      <w:start w:val="1"/>
      <w:numFmt w:val="bullet"/>
      <w:lvlText w:val=""/>
      <w:lvlJc w:val="left"/>
      <w:pPr>
        <w:ind w:left="5040" w:hanging="360"/>
      </w:pPr>
      <w:rPr>
        <w:rFonts w:ascii="Symbol" w:hAnsi="Symbol" w:hint="default"/>
      </w:rPr>
    </w:lvl>
    <w:lvl w:ilvl="7" w:tplc="30B04D72" w:tentative="1">
      <w:start w:val="1"/>
      <w:numFmt w:val="bullet"/>
      <w:lvlText w:val="o"/>
      <w:lvlJc w:val="left"/>
      <w:pPr>
        <w:ind w:left="5760" w:hanging="360"/>
      </w:pPr>
      <w:rPr>
        <w:rFonts w:ascii="Courier New" w:hAnsi="Courier New" w:cs="Courier New" w:hint="default"/>
      </w:rPr>
    </w:lvl>
    <w:lvl w:ilvl="8" w:tplc="754C5790" w:tentative="1">
      <w:start w:val="1"/>
      <w:numFmt w:val="bullet"/>
      <w:lvlText w:val=""/>
      <w:lvlJc w:val="left"/>
      <w:pPr>
        <w:ind w:left="6480" w:hanging="360"/>
      </w:pPr>
      <w:rPr>
        <w:rFonts w:ascii="Wingdings" w:hAnsi="Wingdings" w:hint="default"/>
      </w:rPr>
    </w:lvl>
  </w:abstractNum>
  <w:abstractNum w:abstractNumId="8" w15:restartNumberingAfterBreak="0">
    <w:nsid w:val="54E76E32"/>
    <w:multiLevelType w:val="hybridMultilevel"/>
    <w:tmpl w:val="9982ADFA"/>
    <w:lvl w:ilvl="0" w:tplc="33521D0E">
      <w:start w:val="1"/>
      <w:numFmt w:val="bullet"/>
      <w:lvlText w:val="»"/>
      <w:lvlJc w:val="left"/>
      <w:pPr>
        <w:ind w:left="720" w:hanging="360"/>
      </w:pPr>
      <w:rPr>
        <w:rFonts w:ascii="Calibri" w:hAnsi="Calibri" w:hint="default"/>
        <w:color w:val="A5A5A5" w:themeColor="accent3"/>
        <w:sz w:val="28"/>
        <w:szCs w:val="28"/>
      </w:rPr>
    </w:lvl>
    <w:lvl w:ilvl="1" w:tplc="FCC0D5D6">
      <w:start w:val="1"/>
      <w:numFmt w:val="bullet"/>
      <w:lvlText w:val="o"/>
      <w:lvlJc w:val="left"/>
      <w:pPr>
        <w:ind w:left="1440" w:hanging="360"/>
      </w:pPr>
      <w:rPr>
        <w:rFonts w:ascii="Courier New" w:hAnsi="Courier New" w:cs="Courier New" w:hint="default"/>
      </w:rPr>
    </w:lvl>
    <w:lvl w:ilvl="2" w:tplc="04F0B6E0">
      <w:start w:val="1"/>
      <w:numFmt w:val="bullet"/>
      <w:lvlText w:val=""/>
      <w:lvlJc w:val="left"/>
      <w:pPr>
        <w:ind w:left="2160" w:hanging="360"/>
      </w:pPr>
      <w:rPr>
        <w:rFonts w:ascii="Wingdings" w:hAnsi="Wingdings" w:hint="default"/>
      </w:rPr>
    </w:lvl>
    <w:lvl w:ilvl="3" w:tplc="5FD02C74">
      <w:start w:val="1"/>
      <w:numFmt w:val="bullet"/>
      <w:lvlText w:val=""/>
      <w:lvlJc w:val="left"/>
      <w:pPr>
        <w:ind w:left="2880" w:hanging="360"/>
      </w:pPr>
      <w:rPr>
        <w:rFonts w:ascii="Symbol" w:hAnsi="Symbol" w:hint="default"/>
      </w:rPr>
    </w:lvl>
    <w:lvl w:ilvl="4" w:tplc="AF40BD1E">
      <w:start w:val="1"/>
      <w:numFmt w:val="bullet"/>
      <w:lvlText w:val="o"/>
      <w:lvlJc w:val="left"/>
      <w:pPr>
        <w:ind w:left="3600" w:hanging="360"/>
      </w:pPr>
      <w:rPr>
        <w:rFonts w:ascii="Courier New" w:hAnsi="Courier New" w:cs="Courier New" w:hint="default"/>
      </w:rPr>
    </w:lvl>
    <w:lvl w:ilvl="5" w:tplc="BEAC5692">
      <w:start w:val="1"/>
      <w:numFmt w:val="bullet"/>
      <w:lvlText w:val=""/>
      <w:lvlJc w:val="left"/>
      <w:pPr>
        <w:ind w:left="4320" w:hanging="360"/>
      </w:pPr>
      <w:rPr>
        <w:rFonts w:ascii="Wingdings" w:hAnsi="Wingdings" w:hint="default"/>
      </w:rPr>
    </w:lvl>
    <w:lvl w:ilvl="6" w:tplc="7C124DD0">
      <w:start w:val="1"/>
      <w:numFmt w:val="bullet"/>
      <w:lvlText w:val=""/>
      <w:lvlJc w:val="left"/>
      <w:pPr>
        <w:ind w:left="5040" w:hanging="360"/>
      </w:pPr>
      <w:rPr>
        <w:rFonts w:ascii="Symbol" w:hAnsi="Symbol" w:hint="default"/>
      </w:rPr>
    </w:lvl>
    <w:lvl w:ilvl="7" w:tplc="A53EC224">
      <w:start w:val="1"/>
      <w:numFmt w:val="bullet"/>
      <w:lvlText w:val="o"/>
      <w:lvlJc w:val="left"/>
      <w:pPr>
        <w:ind w:left="5760" w:hanging="360"/>
      </w:pPr>
      <w:rPr>
        <w:rFonts w:ascii="Courier New" w:hAnsi="Courier New" w:cs="Courier New" w:hint="default"/>
      </w:rPr>
    </w:lvl>
    <w:lvl w:ilvl="8" w:tplc="7142651E">
      <w:start w:val="1"/>
      <w:numFmt w:val="bullet"/>
      <w:lvlText w:val=""/>
      <w:lvlJc w:val="left"/>
      <w:pPr>
        <w:ind w:left="6480" w:hanging="360"/>
      </w:pPr>
      <w:rPr>
        <w:rFonts w:ascii="Wingdings" w:hAnsi="Wingdings" w:hint="default"/>
      </w:rPr>
    </w:lvl>
  </w:abstractNum>
  <w:abstractNum w:abstractNumId="9" w15:restartNumberingAfterBreak="0">
    <w:nsid w:val="5B4655F3"/>
    <w:multiLevelType w:val="hybridMultilevel"/>
    <w:tmpl w:val="5AD04C12"/>
    <w:lvl w:ilvl="0" w:tplc="E564DF24">
      <w:start w:val="1"/>
      <w:numFmt w:val="bullet"/>
      <w:lvlText w:val="»"/>
      <w:lvlJc w:val="left"/>
      <w:pPr>
        <w:ind w:left="720" w:hanging="360"/>
      </w:pPr>
      <w:rPr>
        <w:rFonts w:ascii="ChunkFive Roman" w:hAnsi="ChunkFive Roman" w:hint="default"/>
        <w:color w:val="5B9BD5" w:themeColor="accent5"/>
        <w:sz w:val="24"/>
        <w:szCs w:val="32"/>
      </w:rPr>
    </w:lvl>
    <w:lvl w:ilvl="1" w:tplc="1B7239EC" w:tentative="1">
      <w:start w:val="1"/>
      <w:numFmt w:val="bullet"/>
      <w:lvlText w:val="o"/>
      <w:lvlJc w:val="left"/>
      <w:pPr>
        <w:ind w:left="1440" w:hanging="360"/>
      </w:pPr>
      <w:rPr>
        <w:rFonts w:ascii="Courier New" w:hAnsi="Courier New" w:cs="Courier New" w:hint="default"/>
      </w:rPr>
    </w:lvl>
    <w:lvl w:ilvl="2" w:tplc="72DA919A" w:tentative="1">
      <w:start w:val="1"/>
      <w:numFmt w:val="bullet"/>
      <w:lvlText w:val=""/>
      <w:lvlJc w:val="left"/>
      <w:pPr>
        <w:ind w:left="2160" w:hanging="360"/>
      </w:pPr>
      <w:rPr>
        <w:rFonts w:ascii="Wingdings" w:hAnsi="Wingdings" w:hint="default"/>
      </w:rPr>
    </w:lvl>
    <w:lvl w:ilvl="3" w:tplc="44062874" w:tentative="1">
      <w:start w:val="1"/>
      <w:numFmt w:val="bullet"/>
      <w:lvlText w:val=""/>
      <w:lvlJc w:val="left"/>
      <w:pPr>
        <w:ind w:left="2880" w:hanging="360"/>
      </w:pPr>
      <w:rPr>
        <w:rFonts w:ascii="Symbol" w:hAnsi="Symbol" w:hint="default"/>
      </w:rPr>
    </w:lvl>
    <w:lvl w:ilvl="4" w:tplc="4854119C" w:tentative="1">
      <w:start w:val="1"/>
      <w:numFmt w:val="bullet"/>
      <w:lvlText w:val="o"/>
      <w:lvlJc w:val="left"/>
      <w:pPr>
        <w:ind w:left="3600" w:hanging="360"/>
      </w:pPr>
      <w:rPr>
        <w:rFonts w:ascii="Courier New" w:hAnsi="Courier New" w:cs="Courier New" w:hint="default"/>
      </w:rPr>
    </w:lvl>
    <w:lvl w:ilvl="5" w:tplc="FD96F152" w:tentative="1">
      <w:start w:val="1"/>
      <w:numFmt w:val="bullet"/>
      <w:lvlText w:val=""/>
      <w:lvlJc w:val="left"/>
      <w:pPr>
        <w:ind w:left="4320" w:hanging="360"/>
      </w:pPr>
      <w:rPr>
        <w:rFonts w:ascii="Wingdings" w:hAnsi="Wingdings" w:hint="default"/>
      </w:rPr>
    </w:lvl>
    <w:lvl w:ilvl="6" w:tplc="9E92C0FE" w:tentative="1">
      <w:start w:val="1"/>
      <w:numFmt w:val="bullet"/>
      <w:lvlText w:val=""/>
      <w:lvlJc w:val="left"/>
      <w:pPr>
        <w:ind w:left="5040" w:hanging="360"/>
      </w:pPr>
      <w:rPr>
        <w:rFonts w:ascii="Symbol" w:hAnsi="Symbol" w:hint="default"/>
      </w:rPr>
    </w:lvl>
    <w:lvl w:ilvl="7" w:tplc="88F23AB8" w:tentative="1">
      <w:start w:val="1"/>
      <w:numFmt w:val="bullet"/>
      <w:lvlText w:val="o"/>
      <w:lvlJc w:val="left"/>
      <w:pPr>
        <w:ind w:left="5760" w:hanging="360"/>
      </w:pPr>
      <w:rPr>
        <w:rFonts w:ascii="Courier New" w:hAnsi="Courier New" w:cs="Courier New" w:hint="default"/>
      </w:rPr>
    </w:lvl>
    <w:lvl w:ilvl="8" w:tplc="FC224708" w:tentative="1">
      <w:start w:val="1"/>
      <w:numFmt w:val="bullet"/>
      <w:lvlText w:val=""/>
      <w:lvlJc w:val="left"/>
      <w:pPr>
        <w:ind w:left="6480" w:hanging="360"/>
      </w:pPr>
      <w:rPr>
        <w:rFonts w:ascii="Wingdings" w:hAnsi="Wingdings" w:hint="default"/>
      </w:rPr>
    </w:lvl>
  </w:abstractNum>
  <w:abstractNum w:abstractNumId="10" w15:restartNumberingAfterBreak="0">
    <w:nsid w:val="6ECB2C4E"/>
    <w:multiLevelType w:val="hybridMultilevel"/>
    <w:tmpl w:val="A4061F08"/>
    <w:lvl w:ilvl="0" w:tplc="704E02F0">
      <w:start w:val="1"/>
      <w:numFmt w:val="decimal"/>
      <w:lvlText w:val="%1."/>
      <w:lvlJc w:val="left"/>
      <w:pPr>
        <w:ind w:left="1088" w:hanging="360"/>
      </w:pPr>
      <w:rPr>
        <w:rFonts w:hint="default"/>
        <w:b w:val="0"/>
      </w:rPr>
    </w:lvl>
    <w:lvl w:ilvl="1" w:tplc="345047AA" w:tentative="1">
      <w:start w:val="1"/>
      <w:numFmt w:val="lowerLetter"/>
      <w:lvlText w:val="%2."/>
      <w:lvlJc w:val="left"/>
      <w:pPr>
        <w:ind w:left="1808" w:hanging="360"/>
      </w:pPr>
    </w:lvl>
    <w:lvl w:ilvl="2" w:tplc="9C26E4D4" w:tentative="1">
      <w:start w:val="1"/>
      <w:numFmt w:val="lowerRoman"/>
      <w:lvlText w:val="%3."/>
      <w:lvlJc w:val="right"/>
      <w:pPr>
        <w:ind w:left="2528" w:hanging="180"/>
      </w:pPr>
    </w:lvl>
    <w:lvl w:ilvl="3" w:tplc="60061D58" w:tentative="1">
      <w:start w:val="1"/>
      <w:numFmt w:val="decimal"/>
      <w:lvlText w:val="%4."/>
      <w:lvlJc w:val="left"/>
      <w:pPr>
        <w:ind w:left="3248" w:hanging="360"/>
      </w:pPr>
    </w:lvl>
    <w:lvl w:ilvl="4" w:tplc="141E3B88" w:tentative="1">
      <w:start w:val="1"/>
      <w:numFmt w:val="lowerLetter"/>
      <w:lvlText w:val="%5."/>
      <w:lvlJc w:val="left"/>
      <w:pPr>
        <w:ind w:left="3968" w:hanging="360"/>
      </w:pPr>
    </w:lvl>
    <w:lvl w:ilvl="5" w:tplc="3258A720" w:tentative="1">
      <w:start w:val="1"/>
      <w:numFmt w:val="lowerRoman"/>
      <w:lvlText w:val="%6."/>
      <w:lvlJc w:val="right"/>
      <w:pPr>
        <w:ind w:left="4688" w:hanging="180"/>
      </w:pPr>
    </w:lvl>
    <w:lvl w:ilvl="6" w:tplc="18DAD43C" w:tentative="1">
      <w:start w:val="1"/>
      <w:numFmt w:val="decimal"/>
      <w:lvlText w:val="%7."/>
      <w:lvlJc w:val="left"/>
      <w:pPr>
        <w:ind w:left="5408" w:hanging="360"/>
      </w:pPr>
    </w:lvl>
    <w:lvl w:ilvl="7" w:tplc="8F1A810A" w:tentative="1">
      <w:start w:val="1"/>
      <w:numFmt w:val="lowerLetter"/>
      <w:lvlText w:val="%8."/>
      <w:lvlJc w:val="left"/>
      <w:pPr>
        <w:ind w:left="6128" w:hanging="360"/>
      </w:pPr>
    </w:lvl>
    <w:lvl w:ilvl="8" w:tplc="D422ACFE" w:tentative="1">
      <w:start w:val="1"/>
      <w:numFmt w:val="lowerRoman"/>
      <w:lvlText w:val="%9."/>
      <w:lvlJc w:val="right"/>
      <w:pPr>
        <w:ind w:left="6848" w:hanging="180"/>
      </w:pPr>
    </w:lvl>
  </w:abstractNum>
  <w:abstractNum w:abstractNumId="11" w15:restartNumberingAfterBreak="0">
    <w:nsid w:val="759A641D"/>
    <w:multiLevelType w:val="hybridMultilevel"/>
    <w:tmpl w:val="50787FCE"/>
    <w:lvl w:ilvl="0" w:tplc="7324AB6A">
      <w:start w:val="1"/>
      <w:numFmt w:val="bullet"/>
      <w:lvlText w:val="»"/>
      <w:lvlJc w:val="left"/>
      <w:pPr>
        <w:ind w:left="720" w:hanging="360"/>
      </w:pPr>
      <w:rPr>
        <w:rFonts w:ascii="ChunkFive Roman" w:hAnsi="ChunkFive Roman" w:hint="default"/>
        <w:color w:val="5B9BD5" w:themeColor="accent5"/>
        <w:sz w:val="24"/>
        <w:szCs w:val="32"/>
      </w:rPr>
    </w:lvl>
    <w:lvl w:ilvl="1" w:tplc="95CEAA10" w:tentative="1">
      <w:start w:val="1"/>
      <w:numFmt w:val="bullet"/>
      <w:lvlText w:val="o"/>
      <w:lvlJc w:val="left"/>
      <w:pPr>
        <w:ind w:left="1440" w:hanging="360"/>
      </w:pPr>
      <w:rPr>
        <w:rFonts w:ascii="Courier New" w:hAnsi="Courier New" w:cs="Courier New" w:hint="default"/>
      </w:rPr>
    </w:lvl>
    <w:lvl w:ilvl="2" w:tplc="9B48B20E" w:tentative="1">
      <w:start w:val="1"/>
      <w:numFmt w:val="bullet"/>
      <w:lvlText w:val=""/>
      <w:lvlJc w:val="left"/>
      <w:pPr>
        <w:ind w:left="2160" w:hanging="360"/>
      </w:pPr>
      <w:rPr>
        <w:rFonts w:ascii="Wingdings" w:hAnsi="Wingdings" w:hint="default"/>
      </w:rPr>
    </w:lvl>
    <w:lvl w:ilvl="3" w:tplc="71CAD25C" w:tentative="1">
      <w:start w:val="1"/>
      <w:numFmt w:val="bullet"/>
      <w:lvlText w:val=""/>
      <w:lvlJc w:val="left"/>
      <w:pPr>
        <w:ind w:left="2880" w:hanging="360"/>
      </w:pPr>
      <w:rPr>
        <w:rFonts w:ascii="Symbol" w:hAnsi="Symbol" w:hint="default"/>
      </w:rPr>
    </w:lvl>
    <w:lvl w:ilvl="4" w:tplc="B3DECB4E" w:tentative="1">
      <w:start w:val="1"/>
      <w:numFmt w:val="bullet"/>
      <w:lvlText w:val="o"/>
      <w:lvlJc w:val="left"/>
      <w:pPr>
        <w:ind w:left="3600" w:hanging="360"/>
      </w:pPr>
      <w:rPr>
        <w:rFonts w:ascii="Courier New" w:hAnsi="Courier New" w:cs="Courier New" w:hint="default"/>
      </w:rPr>
    </w:lvl>
    <w:lvl w:ilvl="5" w:tplc="F8AA142A" w:tentative="1">
      <w:start w:val="1"/>
      <w:numFmt w:val="bullet"/>
      <w:lvlText w:val=""/>
      <w:lvlJc w:val="left"/>
      <w:pPr>
        <w:ind w:left="4320" w:hanging="360"/>
      </w:pPr>
      <w:rPr>
        <w:rFonts w:ascii="Wingdings" w:hAnsi="Wingdings" w:hint="default"/>
      </w:rPr>
    </w:lvl>
    <w:lvl w:ilvl="6" w:tplc="118EC5C0" w:tentative="1">
      <w:start w:val="1"/>
      <w:numFmt w:val="bullet"/>
      <w:lvlText w:val=""/>
      <w:lvlJc w:val="left"/>
      <w:pPr>
        <w:ind w:left="5040" w:hanging="360"/>
      </w:pPr>
      <w:rPr>
        <w:rFonts w:ascii="Symbol" w:hAnsi="Symbol" w:hint="default"/>
      </w:rPr>
    </w:lvl>
    <w:lvl w:ilvl="7" w:tplc="E2E6240C" w:tentative="1">
      <w:start w:val="1"/>
      <w:numFmt w:val="bullet"/>
      <w:lvlText w:val="o"/>
      <w:lvlJc w:val="left"/>
      <w:pPr>
        <w:ind w:left="5760" w:hanging="360"/>
      </w:pPr>
      <w:rPr>
        <w:rFonts w:ascii="Courier New" w:hAnsi="Courier New" w:cs="Courier New" w:hint="default"/>
      </w:rPr>
    </w:lvl>
    <w:lvl w:ilvl="8" w:tplc="5D32A5A8" w:tentative="1">
      <w:start w:val="1"/>
      <w:numFmt w:val="bullet"/>
      <w:lvlText w:val=""/>
      <w:lvlJc w:val="left"/>
      <w:pPr>
        <w:ind w:left="6480" w:hanging="360"/>
      </w:pPr>
      <w:rPr>
        <w:rFonts w:ascii="Wingdings" w:hAnsi="Wingdings" w:hint="default"/>
      </w:rPr>
    </w:lvl>
  </w:abstractNum>
  <w:abstractNum w:abstractNumId="12" w15:restartNumberingAfterBreak="0">
    <w:nsid w:val="7FCC0A9B"/>
    <w:multiLevelType w:val="hybridMultilevel"/>
    <w:tmpl w:val="55B0D818"/>
    <w:lvl w:ilvl="0" w:tplc="2CF40CF2">
      <w:start w:val="1"/>
      <w:numFmt w:val="bullet"/>
      <w:lvlText w:val="»"/>
      <w:lvlJc w:val="left"/>
      <w:pPr>
        <w:ind w:left="723" w:hanging="360"/>
      </w:pPr>
      <w:rPr>
        <w:rFonts w:ascii="Calibri" w:hAnsi="Calibri" w:hint="default"/>
        <w:color w:val="A5A5A5" w:themeColor="accent3"/>
        <w:sz w:val="28"/>
        <w:szCs w:val="28"/>
      </w:rPr>
    </w:lvl>
    <w:lvl w:ilvl="1" w:tplc="1150754A">
      <w:start w:val="1"/>
      <w:numFmt w:val="lowerLetter"/>
      <w:lvlText w:val="%2."/>
      <w:lvlJc w:val="left"/>
      <w:pPr>
        <w:ind w:left="1443" w:hanging="360"/>
      </w:pPr>
    </w:lvl>
    <w:lvl w:ilvl="2" w:tplc="177E7BEA">
      <w:numFmt w:val="bullet"/>
      <w:lvlText w:val="-"/>
      <w:lvlJc w:val="left"/>
      <w:pPr>
        <w:ind w:left="2343" w:hanging="360"/>
      </w:pPr>
      <w:rPr>
        <w:rFonts w:ascii="Graphik Regular" w:eastAsia="Calibri" w:hAnsi="Graphik Regular" w:cstheme="majorHAnsi" w:hint="default"/>
      </w:rPr>
    </w:lvl>
    <w:lvl w:ilvl="3" w:tplc="61161D6E" w:tentative="1">
      <w:start w:val="1"/>
      <w:numFmt w:val="decimal"/>
      <w:lvlText w:val="%4."/>
      <w:lvlJc w:val="left"/>
      <w:pPr>
        <w:ind w:left="2883" w:hanging="360"/>
      </w:pPr>
    </w:lvl>
    <w:lvl w:ilvl="4" w:tplc="8C843148" w:tentative="1">
      <w:start w:val="1"/>
      <w:numFmt w:val="lowerLetter"/>
      <w:lvlText w:val="%5."/>
      <w:lvlJc w:val="left"/>
      <w:pPr>
        <w:ind w:left="3603" w:hanging="360"/>
      </w:pPr>
    </w:lvl>
    <w:lvl w:ilvl="5" w:tplc="0A829FD4" w:tentative="1">
      <w:start w:val="1"/>
      <w:numFmt w:val="lowerRoman"/>
      <w:lvlText w:val="%6."/>
      <w:lvlJc w:val="right"/>
      <w:pPr>
        <w:ind w:left="4323" w:hanging="180"/>
      </w:pPr>
    </w:lvl>
    <w:lvl w:ilvl="6" w:tplc="1B38A886" w:tentative="1">
      <w:start w:val="1"/>
      <w:numFmt w:val="decimal"/>
      <w:lvlText w:val="%7."/>
      <w:lvlJc w:val="left"/>
      <w:pPr>
        <w:ind w:left="5043" w:hanging="360"/>
      </w:pPr>
    </w:lvl>
    <w:lvl w:ilvl="7" w:tplc="BCD856C4" w:tentative="1">
      <w:start w:val="1"/>
      <w:numFmt w:val="lowerLetter"/>
      <w:lvlText w:val="%8."/>
      <w:lvlJc w:val="left"/>
      <w:pPr>
        <w:ind w:left="5763" w:hanging="360"/>
      </w:pPr>
    </w:lvl>
    <w:lvl w:ilvl="8" w:tplc="F718D494" w:tentative="1">
      <w:start w:val="1"/>
      <w:numFmt w:val="lowerRoman"/>
      <w:lvlText w:val="%9."/>
      <w:lvlJc w:val="right"/>
      <w:pPr>
        <w:ind w:left="6483" w:hanging="180"/>
      </w:pPr>
    </w:lvl>
  </w:abstractNum>
  <w:abstractNum w:abstractNumId="13" w15:restartNumberingAfterBreak="0">
    <w:nsid w:val="7FF35F78"/>
    <w:multiLevelType w:val="hybridMultilevel"/>
    <w:tmpl w:val="7674C8E8"/>
    <w:lvl w:ilvl="0" w:tplc="283C0860">
      <w:start w:val="1"/>
      <w:numFmt w:val="bullet"/>
      <w:lvlText w:val="»"/>
      <w:lvlJc w:val="left"/>
      <w:pPr>
        <w:ind w:left="720" w:hanging="360"/>
      </w:pPr>
      <w:rPr>
        <w:rFonts w:ascii="ChunkFive Roman" w:hAnsi="ChunkFive Roman" w:hint="default"/>
        <w:color w:val="5B9BD5" w:themeColor="accent5"/>
        <w:sz w:val="24"/>
        <w:szCs w:val="32"/>
      </w:rPr>
    </w:lvl>
    <w:lvl w:ilvl="1" w:tplc="C256F32E" w:tentative="1">
      <w:start w:val="1"/>
      <w:numFmt w:val="bullet"/>
      <w:lvlText w:val="o"/>
      <w:lvlJc w:val="left"/>
      <w:pPr>
        <w:ind w:left="1440" w:hanging="360"/>
      </w:pPr>
      <w:rPr>
        <w:rFonts w:ascii="Courier New" w:hAnsi="Courier New" w:cs="Courier New" w:hint="default"/>
      </w:rPr>
    </w:lvl>
    <w:lvl w:ilvl="2" w:tplc="EA5EB838" w:tentative="1">
      <w:start w:val="1"/>
      <w:numFmt w:val="bullet"/>
      <w:lvlText w:val=""/>
      <w:lvlJc w:val="left"/>
      <w:pPr>
        <w:ind w:left="2160" w:hanging="360"/>
      </w:pPr>
      <w:rPr>
        <w:rFonts w:ascii="Wingdings" w:hAnsi="Wingdings" w:hint="default"/>
      </w:rPr>
    </w:lvl>
    <w:lvl w:ilvl="3" w:tplc="D6B8E388" w:tentative="1">
      <w:start w:val="1"/>
      <w:numFmt w:val="bullet"/>
      <w:lvlText w:val=""/>
      <w:lvlJc w:val="left"/>
      <w:pPr>
        <w:ind w:left="2880" w:hanging="360"/>
      </w:pPr>
      <w:rPr>
        <w:rFonts w:ascii="Symbol" w:hAnsi="Symbol" w:hint="default"/>
      </w:rPr>
    </w:lvl>
    <w:lvl w:ilvl="4" w:tplc="65341332" w:tentative="1">
      <w:start w:val="1"/>
      <w:numFmt w:val="bullet"/>
      <w:lvlText w:val="o"/>
      <w:lvlJc w:val="left"/>
      <w:pPr>
        <w:ind w:left="3600" w:hanging="360"/>
      </w:pPr>
      <w:rPr>
        <w:rFonts w:ascii="Courier New" w:hAnsi="Courier New" w:cs="Courier New" w:hint="default"/>
      </w:rPr>
    </w:lvl>
    <w:lvl w:ilvl="5" w:tplc="C5F4968E" w:tentative="1">
      <w:start w:val="1"/>
      <w:numFmt w:val="bullet"/>
      <w:lvlText w:val=""/>
      <w:lvlJc w:val="left"/>
      <w:pPr>
        <w:ind w:left="4320" w:hanging="360"/>
      </w:pPr>
      <w:rPr>
        <w:rFonts w:ascii="Wingdings" w:hAnsi="Wingdings" w:hint="default"/>
      </w:rPr>
    </w:lvl>
    <w:lvl w:ilvl="6" w:tplc="475CFD02" w:tentative="1">
      <w:start w:val="1"/>
      <w:numFmt w:val="bullet"/>
      <w:lvlText w:val=""/>
      <w:lvlJc w:val="left"/>
      <w:pPr>
        <w:ind w:left="5040" w:hanging="360"/>
      </w:pPr>
      <w:rPr>
        <w:rFonts w:ascii="Symbol" w:hAnsi="Symbol" w:hint="default"/>
      </w:rPr>
    </w:lvl>
    <w:lvl w:ilvl="7" w:tplc="FAA076BC" w:tentative="1">
      <w:start w:val="1"/>
      <w:numFmt w:val="bullet"/>
      <w:lvlText w:val="o"/>
      <w:lvlJc w:val="left"/>
      <w:pPr>
        <w:ind w:left="5760" w:hanging="360"/>
      </w:pPr>
      <w:rPr>
        <w:rFonts w:ascii="Courier New" w:hAnsi="Courier New" w:cs="Courier New" w:hint="default"/>
      </w:rPr>
    </w:lvl>
    <w:lvl w:ilvl="8" w:tplc="A9E2EA20"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11"/>
  </w:num>
  <w:num w:numId="4">
    <w:abstractNumId w:val="6"/>
  </w:num>
  <w:num w:numId="5">
    <w:abstractNumId w:val="3"/>
  </w:num>
  <w:num w:numId="6">
    <w:abstractNumId w:val="0"/>
  </w:num>
  <w:num w:numId="7">
    <w:abstractNumId w:val="12"/>
  </w:num>
  <w:num w:numId="8">
    <w:abstractNumId w:val="10"/>
  </w:num>
  <w:num w:numId="9">
    <w:abstractNumId w:val="7"/>
  </w:num>
  <w:num w:numId="10">
    <w:abstractNumId w:val="9"/>
  </w:num>
  <w:num w:numId="11">
    <w:abstractNumId w:val="2"/>
  </w:num>
  <w:num w:numId="12">
    <w:abstractNumId w:val="4"/>
  </w:num>
  <w:num w:numId="13">
    <w:abstractNumId w:val="8"/>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4BD"/>
    <w:rsid w:val="005B0BCC"/>
    <w:rsid w:val="00E904BD"/>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F6F62"/>
  <w15:chartTrackingRefBased/>
  <w15:docId w15:val="{FD154D57-A070-4B17-A6E9-10DE70D83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904BD"/>
    <w:rPr>
      <w:rFonts w:ascii="Times New Roman" w:hAnsi="Times New Roman" w:cs="Times New Roman"/>
      <w:sz w:val="24"/>
      <w:szCs w:val="24"/>
    </w:rPr>
  </w:style>
  <w:style w:type="paragraph" w:styleId="Textonotapie">
    <w:name w:val="footnote text"/>
    <w:basedOn w:val="Normal"/>
    <w:link w:val="TextonotapieCar"/>
    <w:uiPriority w:val="99"/>
    <w:semiHidden/>
    <w:unhideWhenUsed/>
    <w:rsid w:val="00E904B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904BD"/>
    <w:rPr>
      <w:sz w:val="20"/>
      <w:szCs w:val="20"/>
    </w:rPr>
  </w:style>
  <w:style w:type="paragraph" w:styleId="HTMLconformatoprevio">
    <w:name w:val="HTML Preformatted"/>
    <w:basedOn w:val="Normal"/>
    <w:link w:val="HTMLconformatoprevioCar"/>
    <w:uiPriority w:val="99"/>
    <w:semiHidden/>
    <w:unhideWhenUsed/>
    <w:rsid w:val="00E904BD"/>
    <w:pPr>
      <w:spacing w:after="0" w:line="240" w:lineRule="auto"/>
    </w:pPr>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E904BD"/>
    <w:rPr>
      <w:rFonts w:ascii="Consolas" w:hAnsi="Consolas"/>
      <w:sz w:val="20"/>
      <w:szCs w:val="20"/>
    </w:rPr>
  </w:style>
  <w:style w:type="character" w:styleId="Refdenotaalpie">
    <w:name w:val="footnote reference"/>
    <w:basedOn w:val="Fuentedeprrafopredeter"/>
    <w:uiPriority w:val="99"/>
    <w:unhideWhenUsed/>
    <w:rsid w:val="00E904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omap.mef.gub.uy/innovaportal/file/29478/1/decreto-268-020.pdf" TargetMode="Externa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ruxxi.sharepoint.com/sites/shared-inteligenciacompetitiva/Documentos/01-INFORMES/02%20-%20ESTUDIOS%20POR%20SECTORES/Forestal/pcasanyes.sg/Desktop/Trabajos%20Pendientes/2015.04.29%20-%20Gu&#237;a%20del%20inversor/Archivos%20originales%20Gu&#237;a%20del%20Inversor%202014/Cap&#237;tulos%20cerrados/Links%20Reg&#237;menes/ley%2018245.pdf" TargetMode="Externa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https://uruxxi.sharepoint.com/sites/shared-inteligenciacompetitiva/Documentos/01-INFORMES/02%20-%20ESTUDIOS%20POR%20SECTORES/Forestal/pcasanyes.sg/Desktop/Trabajos%20Pendientes/2015.04.29%20-%20Gu&#237;a%20del%20inversor/Archivos%20originales%20Gu&#237;a%20del%20Inversor%202014/Cap&#237;tulos%20cerrados/Links%20Reg&#237;menes/ley_15939.pd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customXml" Target="../customXml/item1.xml"/></Relationships>
</file>

<file path=word/_rels/footnotes.xml.rels><?xml version="1.0" encoding="UTF-8" standalone="yes"?>
<Relationships xmlns="http://schemas.openxmlformats.org/package/2006/relationships"><Relationship Id="rId8" Type="http://schemas.openxmlformats.org/officeDocument/2006/relationships/hyperlink" Target="http://www.zfrancas.gub.uy/" TargetMode="External"/><Relationship Id="rId3" Type="http://schemas.openxmlformats.org/officeDocument/2006/relationships/hyperlink" Target="https://www.impo.com.uy/bases/decretos/268-2020" TargetMode="External"/><Relationship Id="rId7" Type="http://schemas.openxmlformats.org/officeDocument/2006/relationships/hyperlink" Target="https://www.uruguayxxi.gub.uy/es/centro-informacion/articulo/zonas-francas/" TargetMode="External"/><Relationship Id="rId2" Type="http://schemas.openxmlformats.org/officeDocument/2006/relationships/hyperlink" Target="https://www.gub.uy/ministerio-economia-finanzas/sites/ministerio-economia-finanzas/files/2021-01/anexoi_guia_calculo_indicador_empleo.pdf" TargetMode="External"/><Relationship Id="rId1" Type="http://schemas.openxmlformats.org/officeDocument/2006/relationships/hyperlink" Target="https://www.gub.uy/ministerio-economia-finanzas/politicas-y-gestion/presentacion-proyectos-ampliaciones-del-regimen-decreto-268020" TargetMode="External"/><Relationship Id="rId6" Type="http://schemas.openxmlformats.org/officeDocument/2006/relationships/hyperlink" Target="https://parlamento.gub.uy/documentosyleyes/leyes?Ly_Nro=15939&amp;Searchtext=&amp;Ly_fechaDePromulgacion%5Bmin%5D%5Bdate%5D=28-02-2016&amp;Ly_fechaDePromulgacion%5Bmax%5D%5Bdate%5D=15-09-2016" TargetMode="External"/><Relationship Id="rId5" Type="http://schemas.openxmlformats.org/officeDocument/2006/relationships/hyperlink" Target="https://www.uruguayxxi.gub.uy/es/centro-informacion/articulo/parques-industriales/" TargetMode="External"/><Relationship Id="rId4" Type="http://schemas.openxmlformats.org/officeDocument/2006/relationships/hyperlink" Target="https://www.impo.com.uy/bases/decretos/268-202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EBB56198244A84788A2B243B1FA234F" ma:contentTypeVersion="12" ma:contentTypeDescription="Crear nuevo documento." ma:contentTypeScope="" ma:versionID="887acfeeab0a05fb5f1428448386adfb">
  <xsd:schema xmlns:xsd="http://www.w3.org/2001/XMLSchema" xmlns:xs="http://www.w3.org/2001/XMLSchema" xmlns:p="http://schemas.microsoft.com/office/2006/metadata/properties" xmlns:ns2="f279404c-106f-4a60-87fd-f66d5df0f9a4" xmlns:ns3="829b3598-450a-4ee2-9faa-06efffe81020" targetNamespace="http://schemas.microsoft.com/office/2006/metadata/properties" ma:root="true" ma:fieldsID="fcc9006dfaf89346f7aa88e5782c17e9" ns2:_="" ns3:_="">
    <xsd:import namespace="f279404c-106f-4a60-87fd-f66d5df0f9a4"/>
    <xsd:import namespace="829b3598-450a-4ee2-9faa-06efffe8102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LengthInSeconds" minOccurs="0"/>
                <xsd:element ref="ns3:MediaServiceDateTaken" minOccurs="0"/>
                <xsd:element ref="ns3:MediaServiceGenerationTime" minOccurs="0"/>
                <xsd:element ref="ns3:MediaServiceEventHashCode" minOccurs="0"/>
                <xsd:element ref="ns3:MediaServiceOCR"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79404c-106f-4a60-87fd-f66d5df0f9a4"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dexed="true"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9b3598-450a-4ee2-9faa-06efffe8102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f279404c-106f-4a60-87fd-f66d5df0f9a4">EJC3DSS27JDM-312136884-158443</_dlc_DocId>
    <_dlc_DocIdUrl xmlns="f279404c-106f-4a60-87fd-f66d5df0f9a4">
      <Url>https://uruxxi.sharepoint.com/sites/shared-inteligenciacompetitiva/_layouts/15/DocIdRedir.aspx?ID=EJC3DSS27JDM-312136884-158443</Url>
      <Description>EJC3DSS27JDM-312136884-158443</Description>
    </_dlc_DocIdUrl>
  </documentManagement>
</p:properties>
</file>

<file path=customXml/itemProps1.xml><?xml version="1.0" encoding="utf-8"?>
<ds:datastoreItem xmlns:ds="http://schemas.openxmlformats.org/officeDocument/2006/customXml" ds:itemID="{179BF941-BCEB-4144-9D54-02F759487B98}"/>
</file>

<file path=customXml/itemProps2.xml><?xml version="1.0" encoding="utf-8"?>
<ds:datastoreItem xmlns:ds="http://schemas.openxmlformats.org/officeDocument/2006/customXml" ds:itemID="{886212E2-3DB8-44FC-B459-489ECFD71349}"/>
</file>

<file path=customXml/itemProps3.xml><?xml version="1.0" encoding="utf-8"?>
<ds:datastoreItem xmlns:ds="http://schemas.openxmlformats.org/officeDocument/2006/customXml" ds:itemID="{C0ACC9BD-C2F2-4633-B73A-B8E4C3921A82}"/>
</file>

<file path=customXml/itemProps4.xml><?xml version="1.0" encoding="utf-8"?>
<ds:datastoreItem xmlns:ds="http://schemas.openxmlformats.org/officeDocument/2006/customXml" ds:itemID="{26B4F835-3C99-4B3B-9E95-9EA51A64AC0D}"/>
</file>

<file path=docProps/app.xml><?xml version="1.0" encoding="utf-8"?>
<Properties xmlns="http://schemas.openxmlformats.org/officeDocument/2006/extended-properties" xmlns:vt="http://schemas.openxmlformats.org/officeDocument/2006/docPropsVTypes">
  <Template>Normal.dotm</Template>
  <TotalTime>1</TotalTime>
  <Pages>9</Pages>
  <Words>2504</Words>
  <Characters>13775</Characters>
  <Application>Microsoft Office Word</Application>
  <DocSecurity>0</DocSecurity>
  <Lines>114</Lines>
  <Paragraphs>32</Paragraphs>
  <ScaleCrop>false</ScaleCrop>
  <Company/>
  <LinksUpToDate>false</LinksUpToDate>
  <CharactersWithSpaces>16247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German Pereira</dc:creator>
  <cp:keywords/>
  <dc:description/>
  <cp:lastModifiedBy>German Pereira</cp:lastModifiedBy>
  <cp:revision>1</cp:revision>
  <dcterms:created xsi:type="dcterms:W3CDTF">2022-04-20T18:02:00Z</dcterms:created>
  <dcterms:modified xsi:type="dcterms:W3CDTF">2022-04-20T18:03:00Z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0x0101004EBB56198244A84788A2B243B1FA234F</vt:lpwstr>
  </property>
  <property fmtid="{D5CDD505-2E9C-101B-9397-08002B2CF9AE}" pid="3" name="_dlc_DocIdItemGuid">
    <vt:lpwstr>1a9b4272-e25e-49d1-a8da-b845c9c9abb4</vt:lpwstr>
  </property>
</Properties>
</file>